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67688" w14:textId="77777777" w:rsidR="00FC1469" w:rsidRPr="00D41088" w:rsidRDefault="00C959D4" w:rsidP="00FC1469">
      <w:pPr>
        <w:pStyle w:val="CM9"/>
        <w:ind w:right="-86"/>
        <w:jc w:val="center"/>
        <w:rPr>
          <w:b/>
        </w:rPr>
      </w:pPr>
      <w:r w:rsidRPr="00D41088">
        <w:rPr>
          <w:b/>
        </w:rPr>
        <w:t>NOTICE OF A BRIEF SYNOPSIS OF</w:t>
      </w:r>
      <w:r w:rsidR="00FC1469" w:rsidRPr="00D41088">
        <w:rPr>
          <w:b/>
        </w:rPr>
        <w:t xml:space="preserve"> THE DETERMINATION AND FINDINGS</w:t>
      </w:r>
    </w:p>
    <w:p w14:paraId="5BADE1DF" w14:textId="77777777" w:rsidR="00C959D4" w:rsidRPr="00D41088" w:rsidRDefault="00C959D4" w:rsidP="00FC1469">
      <w:pPr>
        <w:pStyle w:val="CM9"/>
        <w:ind w:right="-86"/>
        <w:jc w:val="center"/>
        <w:rPr>
          <w:b/>
        </w:rPr>
      </w:pPr>
      <w:r w:rsidRPr="00D41088">
        <w:rPr>
          <w:b/>
        </w:rPr>
        <w:t xml:space="preserve"> PURSUANT TO §204 OF EMINENT DOMAIN PROCEDURE LAW</w:t>
      </w:r>
    </w:p>
    <w:p w14:paraId="38BF1722" w14:textId="77777777" w:rsidR="00133EA2" w:rsidRPr="00D41088" w:rsidRDefault="00133EA2" w:rsidP="00133EA2">
      <w:pPr>
        <w:pStyle w:val="Default"/>
        <w:rPr>
          <w:b/>
        </w:rPr>
      </w:pPr>
    </w:p>
    <w:p w14:paraId="15E7409B" w14:textId="5F1DEF1F" w:rsidR="00133EA2" w:rsidRPr="00570749" w:rsidRDefault="00570749" w:rsidP="00133EA2">
      <w:pPr>
        <w:spacing w:after="0" w:line="240" w:lineRule="auto"/>
        <w:rPr>
          <w:rFonts w:ascii="Times New Roman" w:hAnsi="Times New Roman"/>
          <w:sz w:val="24"/>
          <w:szCs w:val="24"/>
        </w:rPr>
      </w:pPr>
      <w:r w:rsidRPr="00570749">
        <w:rPr>
          <w:rFonts w:ascii="Times New Roman" w:hAnsi="Times New Roman"/>
          <w:sz w:val="24"/>
          <w:szCs w:val="24"/>
        </w:rPr>
        <w:t xml:space="preserve">Resolution </w:t>
      </w:r>
      <w:r w:rsidRPr="00570749">
        <w:rPr>
          <w:rFonts w:ascii="Times New Roman" w:hAnsi="Times New Roman"/>
          <w:bCs/>
          <w:sz w:val="24"/>
          <w:szCs w:val="24"/>
        </w:rPr>
        <w:t>#</w:t>
      </w:r>
      <w:r w:rsidR="00EC7653">
        <w:rPr>
          <w:rFonts w:ascii="Times New Roman" w:hAnsi="Times New Roman"/>
          <w:bCs/>
          <w:sz w:val="24"/>
          <w:szCs w:val="24"/>
        </w:rPr>
        <w:t>19</w:t>
      </w:r>
      <w:r w:rsidR="00133EA2" w:rsidRPr="00570749">
        <w:rPr>
          <w:rFonts w:ascii="Times New Roman" w:hAnsi="Times New Roman"/>
          <w:sz w:val="24"/>
          <w:szCs w:val="24"/>
        </w:rPr>
        <w:t>, dated</w:t>
      </w:r>
      <w:r w:rsidR="00453A7E">
        <w:rPr>
          <w:rFonts w:ascii="Times New Roman" w:hAnsi="Times New Roman"/>
          <w:sz w:val="24"/>
          <w:szCs w:val="24"/>
        </w:rPr>
        <w:t xml:space="preserve"> August 12</w:t>
      </w:r>
      <w:r w:rsidR="00133EA2" w:rsidRPr="00570749">
        <w:rPr>
          <w:rFonts w:ascii="Times New Roman" w:hAnsi="Times New Roman"/>
          <w:sz w:val="24"/>
          <w:szCs w:val="24"/>
        </w:rPr>
        <w:t>, 20</w:t>
      </w:r>
      <w:r w:rsidR="00453A7E">
        <w:rPr>
          <w:rFonts w:ascii="Times New Roman" w:hAnsi="Times New Roman"/>
          <w:sz w:val="24"/>
          <w:szCs w:val="24"/>
        </w:rPr>
        <w:t>20</w:t>
      </w:r>
    </w:p>
    <w:p w14:paraId="63A63833" w14:textId="77777777" w:rsidR="00133EA2" w:rsidRPr="00570749" w:rsidRDefault="00A93320" w:rsidP="00133EA2">
      <w:pPr>
        <w:spacing w:after="0" w:line="240" w:lineRule="auto"/>
        <w:rPr>
          <w:rFonts w:ascii="Times New Roman" w:hAnsi="Times New Roman"/>
          <w:sz w:val="24"/>
          <w:szCs w:val="24"/>
        </w:rPr>
      </w:pPr>
      <w:r w:rsidRPr="00570749">
        <w:rPr>
          <w:rFonts w:ascii="Times New Roman" w:hAnsi="Times New Roman"/>
          <w:sz w:val="24"/>
          <w:szCs w:val="24"/>
        </w:rPr>
        <w:t>Tax Parcels Effected:</w:t>
      </w:r>
      <w:r w:rsidR="00453A7E">
        <w:rPr>
          <w:rFonts w:ascii="Times New Roman" w:hAnsi="Times New Roman"/>
          <w:sz w:val="24"/>
          <w:szCs w:val="24"/>
        </w:rPr>
        <w:t xml:space="preserve"> Middletown </w:t>
      </w:r>
      <w:r w:rsidRPr="00570749">
        <w:rPr>
          <w:rFonts w:ascii="Times New Roman" w:hAnsi="Times New Roman"/>
          <w:sz w:val="24"/>
          <w:szCs w:val="24"/>
        </w:rPr>
        <w:t xml:space="preserve">Tax Map No. </w:t>
      </w:r>
      <w:r w:rsidR="00453A7E" w:rsidRPr="00D06C1A">
        <w:rPr>
          <w:rFonts w:ascii="Times New Roman" w:hAnsi="Times New Roman"/>
          <w:sz w:val="24"/>
          <w:szCs w:val="24"/>
        </w:rPr>
        <w:t>241.-1-1.1</w:t>
      </w:r>
    </w:p>
    <w:p w14:paraId="7AC6D7B6" w14:textId="77777777" w:rsidR="00133EA2" w:rsidRPr="00570749" w:rsidRDefault="00133EA2" w:rsidP="00133EA2">
      <w:pPr>
        <w:spacing w:after="0" w:line="240" w:lineRule="auto"/>
        <w:rPr>
          <w:rFonts w:ascii="Times New Roman" w:hAnsi="Times New Roman"/>
          <w:sz w:val="24"/>
          <w:szCs w:val="24"/>
        </w:rPr>
      </w:pPr>
      <w:r w:rsidRPr="00570749">
        <w:rPr>
          <w:rFonts w:ascii="Times New Roman" w:hAnsi="Times New Roman"/>
          <w:sz w:val="24"/>
          <w:szCs w:val="24"/>
        </w:rPr>
        <w:t>Nature of Acquisition: Fee Title and Easement</w:t>
      </w:r>
      <w:r w:rsidR="00453A7E">
        <w:rPr>
          <w:rFonts w:ascii="Times New Roman" w:hAnsi="Times New Roman"/>
          <w:sz w:val="24"/>
          <w:szCs w:val="24"/>
        </w:rPr>
        <w:t xml:space="preserve"> and Termination of WAC Conservation Easement</w:t>
      </w:r>
    </w:p>
    <w:p w14:paraId="394E637E" w14:textId="77777777" w:rsidR="00133EA2" w:rsidRPr="00570749" w:rsidRDefault="00133EA2" w:rsidP="00133EA2">
      <w:pPr>
        <w:spacing w:after="0" w:line="240" w:lineRule="auto"/>
        <w:rPr>
          <w:rFonts w:ascii="Times New Roman" w:hAnsi="Times New Roman"/>
          <w:sz w:val="24"/>
          <w:szCs w:val="24"/>
        </w:rPr>
      </w:pPr>
      <w:r w:rsidRPr="00570749">
        <w:rPr>
          <w:rFonts w:ascii="Times New Roman" w:hAnsi="Times New Roman"/>
          <w:sz w:val="24"/>
          <w:szCs w:val="24"/>
        </w:rPr>
        <w:t xml:space="preserve">Project: Town of </w:t>
      </w:r>
      <w:r w:rsidR="00453A7E">
        <w:rPr>
          <w:rFonts w:ascii="Times New Roman" w:hAnsi="Times New Roman"/>
          <w:sz w:val="24"/>
          <w:szCs w:val="24"/>
        </w:rPr>
        <w:t xml:space="preserve">Middleton, Hamlet of New Kingston </w:t>
      </w:r>
      <w:r w:rsidRPr="00570749">
        <w:rPr>
          <w:rFonts w:ascii="Times New Roman" w:hAnsi="Times New Roman"/>
          <w:sz w:val="24"/>
          <w:szCs w:val="24"/>
        </w:rPr>
        <w:t>Community Sewer System</w:t>
      </w:r>
    </w:p>
    <w:p w14:paraId="0F4BB4B7" w14:textId="77777777" w:rsidR="00133EA2" w:rsidRPr="003F5964" w:rsidRDefault="00133EA2" w:rsidP="00133EA2">
      <w:pPr>
        <w:pStyle w:val="Default"/>
      </w:pPr>
    </w:p>
    <w:p w14:paraId="66607F15" w14:textId="5EEA147C" w:rsidR="00C959D4" w:rsidRPr="003F5964" w:rsidRDefault="00C959D4" w:rsidP="00C959D4">
      <w:pPr>
        <w:pStyle w:val="CM9"/>
        <w:spacing w:after="267" w:line="278" w:lineRule="atLeast"/>
        <w:ind w:right="-90"/>
        <w:jc w:val="both"/>
      </w:pPr>
      <w:r w:rsidRPr="003F5964">
        <w:t>NOTICE IS HEREBY GIV</w:t>
      </w:r>
      <w:r w:rsidR="00413020" w:rsidRPr="003F5964">
        <w:t xml:space="preserve">EN that by Resolution </w:t>
      </w:r>
      <w:r w:rsidR="008F3ABA" w:rsidRPr="00570749">
        <w:rPr>
          <w:bCs/>
        </w:rPr>
        <w:t>#</w:t>
      </w:r>
      <w:r w:rsidR="00EC7653">
        <w:t>19</w:t>
      </w:r>
      <w:r w:rsidRPr="003F5964">
        <w:t>, dated</w:t>
      </w:r>
      <w:r w:rsidR="00453A7E">
        <w:t xml:space="preserve"> August 12, 2020</w:t>
      </w:r>
      <w:r w:rsidRPr="003F5964">
        <w:t xml:space="preserve">, the Town Board of the Town of </w:t>
      </w:r>
      <w:r w:rsidR="00453A7E">
        <w:t xml:space="preserve">Middletown </w:t>
      </w:r>
      <w:r w:rsidRPr="003F5964">
        <w:t>adopted the Determination and Findings pursuant to §204 of the Eminent Domain Procedure Law</w:t>
      </w:r>
      <w:r w:rsidR="00133EA2" w:rsidRPr="003F5964">
        <w:t xml:space="preserve"> entitled</w:t>
      </w:r>
      <w:r w:rsidRPr="003F5964">
        <w:t xml:space="preserve">: </w:t>
      </w:r>
    </w:p>
    <w:p w14:paraId="1EF84816" w14:textId="77777777" w:rsidR="00453A7E" w:rsidRPr="00645EEC" w:rsidRDefault="00453A7E" w:rsidP="00453A7E">
      <w:pPr>
        <w:spacing w:line="240" w:lineRule="auto"/>
        <w:contextualSpacing/>
        <w:jc w:val="center"/>
        <w:rPr>
          <w:rFonts w:ascii="Times New Roman" w:hAnsi="Times New Roman"/>
          <w:b/>
          <w:bCs/>
          <w:sz w:val="24"/>
          <w:szCs w:val="24"/>
        </w:rPr>
      </w:pPr>
      <w:r w:rsidRPr="00645EEC">
        <w:rPr>
          <w:rFonts w:ascii="Times New Roman" w:hAnsi="Times New Roman"/>
          <w:b/>
          <w:bCs/>
          <w:sz w:val="24"/>
          <w:szCs w:val="24"/>
        </w:rPr>
        <w:t>DETERMINATION AND FINDINGS PURSUANT TO ARTICLE 2</w:t>
      </w:r>
    </w:p>
    <w:p w14:paraId="35F22658" w14:textId="77777777" w:rsidR="00453A7E" w:rsidRPr="00645EEC" w:rsidRDefault="00453A7E" w:rsidP="00453A7E">
      <w:pPr>
        <w:spacing w:line="240" w:lineRule="auto"/>
        <w:contextualSpacing/>
        <w:jc w:val="center"/>
        <w:rPr>
          <w:rFonts w:ascii="Times New Roman" w:hAnsi="Times New Roman"/>
          <w:b/>
          <w:bCs/>
          <w:sz w:val="24"/>
          <w:szCs w:val="24"/>
        </w:rPr>
      </w:pPr>
      <w:r w:rsidRPr="00645EEC">
        <w:rPr>
          <w:rFonts w:ascii="Times New Roman" w:hAnsi="Times New Roman"/>
          <w:b/>
          <w:bCs/>
          <w:sz w:val="24"/>
          <w:szCs w:val="24"/>
        </w:rPr>
        <w:t>OF THE NEW YORK EMINENT DOMAIN PROCEDURE LAW</w:t>
      </w:r>
    </w:p>
    <w:p w14:paraId="25B5DA35" w14:textId="77777777" w:rsidR="00453A7E" w:rsidRDefault="00453A7E" w:rsidP="00453A7E">
      <w:pPr>
        <w:spacing w:line="240" w:lineRule="auto"/>
        <w:contextualSpacing/>
        <w:jc w:val="center"/>
        <w:rPr>
          <w:rFonts w:ascii="Times New Roman" w:hAnsi="Times New Roman"/>
          <w:b/>
          <w:bCs/>
          <w:sz w:val="24"/>
          <w:szCs w:val="24"/>
        </w:rPr>
      </w:pPr>
    </w:p>
    <w:p w14:paraId="4C80EDBB" w14:textId="77777777" w:rsidR="00453A7E" w:rsidRPr="009A5C1B" w:rsidRDefault="00453A7E" w:rsidP="00453A7E">
      <w:pPr>
        <w:spacing w:line="240" w:lineRule="auto"/>
        <w:contextualSpacing/>
        <w:jc w:val="center"/>
        <w:rPr>
          <w:rFonts w:ascii="Times New Roman" w:hAnsi="Times New Roman"/>
          <w:b/>
          <w:bCs/>
          <w:sz w:val="24"/>
          <w:szCs w:val="24"/>
        </w:rPr>
      </w:pPr>
      <w:r w:rsidRPr="00645EEC">
        <w:rPr>
          <w:rFonts w:ascii="Times New Roman" w:hAnsi="Times New Roman"/>
          <w:b/>
          <w:bCs/>
          <w:sz w:val="24"/>
          <w:szCs w:val="24"/>
        </w:rPr>
        <w:t xml:space="preserve">Town </w:t>
      </w:r>
      <w:r w:rsidRPr="009A5C1B">
        <w:rPr>
          <w:rFonts w:ascii="Times New Roman" w:hAnsi="Times New Roman"/>
          <w:b/>
          <w:bCs/>
          <w:sz w:val="24"/>
          <w:szCs w:val="24"/>
        </w:rPr>
        <w:t>of Middletown Community Wastewater Management Program</w:t>
      </w:r>
    </w:p>
    <w:p w14:paraId="092D0DE8" w14:textId="77777777" w:rsidR="00453A7E" w:rsidRPr="009A5C1B" w:rsidRDefault="00453A7E" w:rsidP="00453A7E">
      <w:pPr>
        <w:spacing w:line="240" w:lineRule="auto"/>
        <w:ind w:firstLine="302"/>
        <w:contextualSpacing/>
        <w:jc w:val="center"/>
        <w:rPr>
          <w:rFonts w:ascii="Times New Roman" w:hAnsi="Times New Roman"/>
          <w:b/>
          <w:bCs/>
          <w:sz w:val="24"/>
          <w:szCs w:val="24"/>
        </w:rPr>
      </w:pPr>
      <w:bookmarkStart w:id="0" w:name="_Hlk37232651"/>
      <w:r w:rsidRPr="009A5C1B">
        <w:rPr>
          <w:rFonts w:ascii="Times New Roman" w:hAnsi="Times New Roman"/>
          <w:b/>
          <w:bCs/>
          <w:sz w:val="24"/>
          <w:szCs w:val="24"/>
        </w:rPr>
        <w:t>Construction of community subsurface wastewater treatment facility</w:t>
      </w:r>
      <w:bookmarkEnd w:id="0"/>
    </w:p>
    <w:p w14:paraId="207B3122" w14:textId="77777777" w:rsidR="00133EA2" w:rsidRPr="003F5964" w:rsidRDefault="003F5964" w:rsidP="00131F7B">
      <w:pPr>
        <w:pStyle w:val="CM9"/>
        <w:spacing w:after="267" w:line="278" w:lineRule="atLeast"/>
        <w:ind w:right="-90" w:firstLine="720"/>
        <w:jc w:val="both"/>
      </w:pPr>
      <w:r>
        <w:t>Section 204 of</w:t>
      </w:r>
      <w:r w:rsidR="00A93320" w:rsidRPr="003F5964">
        <w:t xml:space="preserve"> New York State Eminent Domain Procedure Law (“EDPL) </w:t>
      </w:r>
      <w:r w:rsidR="00133EA2" w:rsidRPr="003F5964">
        <w:t>requires the Town to publish in the newspaper and mail to assessment record billing owners a brief synopsis of the Findings and Determination. This Notice constitutes the brief synopsis.</w:t>
      </w:r>
    </w:p>
    <w:p w14:paraId="3118B381" w14:textId="59F6409E" w:rsidR="00131F7B" w:rsidRPr="00131F7B" w:rsidRDefault="00133EA2" w:rsidP="00131F7B">
      <w:pPr>
        <w:spacing w:line="240" w:lineRule="auto"/>
        <w:ind w:firstLine="720"/>
        <w:jc w:val="both"/>
        <w:rPr>
          <w:rFonts w:ascii="Times New Roman" w:hAnsi="Times New Roman"/>
          <w:sz w:val="24"/>
          <w:szCs w:val="24"/>
        </w:rPr>
      </w:pPr>
      <w:r w:rsidRPr="00131F7B">
        <w:rPr>
          <w:rFonts w:ascii="Times New Roman" w:hAnsi="Times New Roman"/>
          <w:sz w:val="24"/>
          <w:szCs w:val="24"/>
        </w:rPr>
        <w:t>B</w:t>
      </w:r>
      <w:r w:rsidR="00C959D4" w:rsidRPr="00131F7B">
        <w:rPr>
          <w:rFonts w:ascii="Times New Roman" w:hAnsi="Times New Roman"/>
          <w:sz w:val="24"/>
          <w:szCs w:val="24"/>
        </w:rPr>
        <w:t xml:space="preserve">y </w:t>
      </w:r>
      <w:r w:rsidRPr="00131F7B">
        <w:rPr>
          <w:rFonts w:ascii="Times New Roman" w:hAnsi="Times New Roman"/>
          <w:sz w:val="24"/>
          <w:szCs w:val="24"/>
        </w:rPr>
        <w:t xml:space="preserve">a </w:t>
      </w:r>
      <w:r w:rsidR="00C959D4" w:rsidRPr="00131F7B">
        <w:rPr>
          <w:rFonts w:ascii="Times New Roman" w:hAnsi="Times New Roman"/>
          <w:sz w:val="24"/>
          <w:szCs w:val="24"/>
        </w:rPr>
        <w:t xml:space="preserve">resolution of the Town Board of the Town of </w:t>
      </w:r>
      <w:r w:rsidR="00A860EA">
        <w:rPr>
          <w:rFonts w:ascii="Times New Roman" w:hAnsi="Times New Roman"/>
          <w:sz w:val="24"/>
          <w:szCs w:val="24"/>
        </w:rPr>
        <w:t xml:space="preserve">Middletown </w:t>
      </w:r>
      <w:r w:rsidR="00C959D4" w:rsidRPr="00131F7B">
        <w:rPr>
          <w:rFonts w:ascii="Times New Roman" w:hAnsi="Times New Roman"/>
          <w:sz w:val="24"/>
          <w:szCs w:val="24"/>
        </w:rPr>
        <w:t>duly adopted on</w:t>
      </w:r>
      <w:r w:rsidR="00453A7E" w:rsidRPr="00131F7B">
        <w:rPr>
          <w:rFonts w:ascii="Times New Roman" w:hAnsi="Times New Roman"/>
          <w:sz w:val="24"/>
          <w:szCs w:val="24"/>
        </w:rPr>
        <w:t xml:space="preserve"> </w:t>
      </w:r>
      <w:r w:rsidR="00C91795">
        <w:rPr>
          <w:rFonts w:ascii="Times New Roman" w:hAnsi="Times New Roman"/>
          <w:sz w:val="24"/>
          <w:szCs w:val="24"/>
        </w:rPr>
        <w:t xml:space="preserve">June </w:t>
      </w:r>
      <w:r w:rsidR="00A860EA">
        <w:rPr>
          <w:rFonts w:ascii="Times New Roman" w:hAnsi="Times New Roman"/>
          <w:sz w:val="24"/>
          <w:szCs w:val="24"/>
        </w:rPr>
        <w:t>10</w:t>
      </w:r>
      <w:r w:rsidR="00453A7E" w:rsidRPr="00131F7B">
        <w:rPr>
          <w:rFonts w:ascii="Times New Roman" w:hAnsi="Times New Roman"/>
          <w:sz w:val="24"/>
          <w:szCs w:val="24"/>
        </w:rPr>
        <w:t>, 2020</w:t>
      </w:r>
      <w:r w:rsidR="00C959D4" w:rsidRPr="00131F7B">
        <w:rPr>
          <w:rFonts w:ascii="Times New Roman" w:hAnsi="Times New Roman"/>
          <w:sz w:val="24"/>
          <w:szCs w:val="24"/>
        </w:rPr>
        <w:t xml:space="preserve">; a duly noticed public hearing was held by the Town of </w:t>
      </w:r>
      <w:r w:rsidR="00A860EA">
        <w:rPr>
          <w:rFonts w:ascii="Times New Roman" w:hAnsi="Times New Roman"/>
          <w:sz w:val="24"/>
          <w:szCs w:val="24"/>
        </w:rPr>
        <w:t xml:space="preserve">Middletown </w:t>
      </w:r>
      <w:r w:rsidR="00C959D4" w:rsidRPr="00131F7B">
        <w:rPr>
          <w:rFonts w:ascii="Times New Roman" w:hAnsi="Times New Roman"/>
          <w:sz w:val="24"/>
          <w:szCs w:val="24"/>
        </w:rPr>
        <w:t xml:space="preserve">on July </w:t>
      </w:r>
      <w:r w:rsidR="00131F7B" w:rsidRPr="00131F7B">
        <w:rPr>
          <w:rFonts w:ascii="Times New Roman" w:hAnsi="Times New Roman"/>
          <w:sz w:val="24"/>
          <w:szCs w:val="24"/>
        </w:rPr>
        <w:t>8</w:t>
      </w:r>
      <w:r w:rsidR="00C959D4" w:rsidRPr="00131F7B">
        <w:rPr>
          <w:rFonts w:ascii="Times New Roman" w:hAnsi="Times New Roman"/>
          <w:sz w:val="24"/>
          <w:szCs w:val="24"/>
        </w:rPr>
        <w:t>, 20</w:t>
      </w:r>
      <w:r w:rsidR="00131F7B" w:rsidRPr="00131F7B">
        <w:rPr>
          <w:rFonts w:ascii="Times New Roman" w:hAnsi="Times New Roman"/>
          <w:sz w:val="24"/>
          <w:szCs w:val="24"/>
        </w:rPr>
        <w:t>20</w:t>
      </w:r>
      <w:r w:rsidR="00C959D4" w:rsidRPr="00131F7B">
        <w:rPr>
          <w:rFonts w:ascii="Times New Roman" w:hAnsi="Times New Roman"/>
          <w:sz w:val="24"/>
          <w:szCs w:val="24"/>
        </w:rPr>
        <w:t xml:space="preserve">, pursuant to Article 2 of the Eminent Domain Procedure Law of the State of New York ("EDPL"), to consider the acquisition by exercise of the power of eminent domain </w:t>
      </w:r>
      <w:r w:rsidR="00131F7B" w:rsidRPr="00131F7B">
        <w:rPr>
          <w:rFonts w:ascii="Times New Roman" w:hAnsi="Times New Roman"/>
          <w:sz w:val="24"/>
          <w:szCs w:val="24"/>
        </w:rPr>
        <w:t>of the following lands:</w:t>
      </w:r>
    </w:p>
    <w:p w14:paraId="1BAB20A6" w14:textId="77777777" w:rsidR="00131F7B" w:rsidRDefault="00131F7B" w:rsidP="00131F7B">
      <w:pPr>
        <w:pStyle w:val="NoSpacing"/>
        <w:numPr>
          <w:ilvl w:val="0"/>
          <w:numId w:val="5"/>
        </w:numPr>
        <w:ind w:left="1080"/>
        <w:rPr>
          <w:rFonts w:ascii="Times New Roman" w:hAnsi="Times New Roman"/>
          <w:color w:val="000000"/>
          <w:sz w:val="24"/>
          <w:szCs w:val="24"/>
        </w:rPr>
      </w:pPr>
      <w:bookmarkStart w:id="1" w:name="_Hlk42499434"/>
      <w:r>
        <w:rPr>
          <w:rFonts w:ascii="Times New Roman" w:hAnsi="Times New Roman"/>
          <w:color w:val="000000"/>
          <w:sz w:val="24"/>
          <w:szCs w:val="24"/>
        </w:rPr>
        <w:t xml:space="preserve">Fee Acquisition of a 21.7 acres portion of an 89.85 acres parcel identified on the Middletown Tax Map as Parcel No. </w:t>
      </w:r>
      <w:r>
        <w:rPr>
          <w:rFonts w:ascii="Times New Roman" w:hAnsi="Times New Roman"/>
          <w:sz w:val="24"/>
          <w:szCs w:val="24"/>
        </w:rPr>
        <w:t>241.-1-1.1</w:t>
      </w:r>
      <w:r>
        <w:rPr>
          <w:rFonts w:ascii="Times New Roman" w:hAnsi="Times New Roman"/>
          <w:color w:val="000000"/>
          <w:sz w:val="24"/>
          <w:szCs w:val="24"/>
        </w:rPr>
        <w:t xml:space="preserve"> (the 21.7</w:t>
      </w:r>
      <w:r w:rsidR="00C91795">
        <w:rPr>
          <w:rFonts w:ascii="Times New Roman" w:hAnsi="Times New Roman"/>
          <w:color w:val="000000"/>
          <w:sz w:val="24"/>
          <w:szCs w:val="24"/>
        </w:rPr>
        <w:t xml:space="preserve"> </w:t>
      </w:r>
      <w:r>
        <w:rPr>
          <w:rFonts w:ascii="Times New Roman" w:hAnsi="Times New Roman"/>
          <w:color w:val="000000"/>
          <w:sz w:val="24"/>
          <w:szCs w:val="24"/>
        </w:rPr>
        <w:t>acre portion of the parcel to be acquired is hereinafter referred to as the “Fee Parcel”);</w:t>
      </w:r>
    </w:p>
    <w:p w14:paraId="0F105068" w14:textId="77777777" w:rsidR="00131F7B" w:rsidRDefault="00131F7B" w:rsidP="00131F7B">
      <w:pPr>
        <w:pStyle w:val="NoSpacing"/>
        <w:ind w:left="1080"/>
        <w:rPr>
          <w:rFonts w:ascii="Times New Roman" w:hAnsi="Times New Roman"/>
          <w:color w:val="000000"/>
          <w:sz w:val="24"/>
          <w:szCs w:val="24"/>
        </w:rPr>
      </w:pPr>
    </w:p>
    <w:p w14:paraId="7FE95FEC" w14:textId="77777777" w:rsidR="00131F7B" w:rsidRDefault="00131F7B" w:rsidP="00131F7B">
      <w:pPr>
        <w:pStyle w:val="NoSpacing"/>
        <w:numPr>
          <w:ilvl w:val="0"/>
          <w:numId w:val="5"/>
        </w:numPr>
        <w:ind w:left="1080"/>
        <w:rPr>
          <w:rFonts w:ascii="Times New Roman" w:hAnsi="Times New Roman"/>
          <w:color w:val="000000"/>
          <w:sz w:val="24"/>
          <w:szCs w:val="24"/>
        </w:rPr>
      </w:pPr>
      <w:r>
        <w:rPr>
          <w:rFonts w:ascii="Times New Roman" w:hAnsi="Times New Roman"/>
          <w:color w:val="000000"/>
          <w:sz w:val="24"/>
          <w:szCs w:val="24"/>
        </w:rPr>
        <w:t xml:space="preserve">Permanent Easement for access to the Treatment System </w:t>
      </w:r>
      <w:r>
        <w:rPr>
          <w:rFonts w:ascii="Times New Roman" w:hAnsi="Times New Roman"/>
          <w:sz w:val="24"/>
          <w:szCs w:val="24"/>
        </w:rPr>
        <w:t xml:space="preserve">over the remaining </w:t>
      </w:r>
      <w:r>
        <w:rPr>
          <w:rFonts w:ascii="Times New Roman" w:hAnsi="Times New Roman"/>
          <w:color w:val="000000"/>
          <w:sz w:val="24"/>
          <w:szCs w:val="24"/>
        </w:rPr>
        <w:t xml:space="preserve">portion of Tax Map Parcel No. </w:t>
      </w:r>
      <w:r>
        <w:rPr>
          <w:rFonts w:ascii="Times New Roman" w:hAnsi="Times New Roman"/>
          <w:sz w:val="24"/>
          <w:szCs w:val="24"/>
        </w:rPr>
        <w:t>241.-1-1.1</w:t>
      </w:r>
      <w:r>
        <w:rPr>
          <w:rFonts w:ascii="Times New Roman" w:hAnsi="Times New Roman"/>
          <w:color w:val="000000"/>
          <w:sz w:val="24"/>
          <w:szCs w:val="24"/>
        </w:rPr>
        <w:t xml:space="preserve"> </w:t>
      </w:r>
      <w:r>
        <w:rPr>
          <w:rFonts w:ascii="Times New Roman" w:hAnsi="Times New Roman"/>
          <w:sz w:val="24"/>
          <w:szCs w:val="24"/>
        </w:rPr>
        <w:t xml:space="preserve">(“Easement Parcel”); and </w:t>
      </w:r>
    </w:p>
    <w:p w14:paraId="3711DF24" w14:textId="77777777" w:rsidR="00131F7B" w:rsidRDefault="00131F7B" w:rsidP="00131F7B">
      <w:pPr>
        <w:pStyle w:val="NoSpacing"/>
        <w:ind w:left="1080"/>
        <w:rPr>
          <w:rFonts w:ascii="Times New Roman" w:hAnsi="Times New Roman"/>
          <w:color w:val="000000"/>
          <w:sz w:val="24"/>
          <w:szCs w:val="24"/>
        </w:rPr>
      </w:pPr>
    </w:p>
    <w:p w14:paraId="43AA2C0A" w14:textId="77777777" w:rsidR="00131F7B" w:rsidRDefault="00131F7B" w:rsidP="00131F7B">
      <w:pPr>
        <w:pStyle w:val="NoSpacing"/>
        <w:numPr>
          <w:ilvl w:val="0"/>
          <w:numId w:val="5"/>
        </w:numPr>
        <w:ind w:left="1080"/>
        <w:rPr>
          <w:rFonts w:ascii="Times New Roman" w:hAnsi="Times New Roman"/>
          <w:color w:val="000000"/>
          <w:sz w:val="24"/>
          <w:szCs w:val="24"/>
        </w:rPr>
      </w:pPr>
      <w:r>
        <w:rPr>
          <w:rFonts w:ascii="Times New Roman" w:hAnsi="Times New Roman"/>
          <w:color w:val="000000"/>
          <w:sz w:val="24"/>
          <w:szCs w:val="24"/>
        </w:rPr>
        <w:t xml:space="preserve">Termination of a Watershed Agricultural Council (“WAC”) Conservation Easement encumbering the Fee Parcel. </w:t>
      </w:r>
    </w:p>
    <w:bookmarkEnd w:id="1"/>
    <w:p w14:paraId="72684BCE" w14:textId="77777777" w:rsidR="00131F7B" w:rsidRDefault="00131F7B" w:rsidP="00131F7B">
      <w:pPr>
        <w:pStyle w:val="NoSpacing"/>
        <w:ind w:firstLine="0"/>
        <w:rPr>
          <w:rFonts w:ascii="Times New Roman" w:hAnsi="Times New Roman"/>
          <w:sz w:val="24"/>
          <w:szCs w:val="24"/>
        </w:rPr>
      </w:pPr>
    </w:p>
    <w:p w14:paraId="26310550" w14:textId="77777777" w:rsidR="00C959D4" w:rsidRDefault="00131F7B" w:rsidP="00131F7B">
      <w:pPr>
        <w:pStyle w:val="NoSpacing"/>
        <w:ind w:left="0" w:firstLine="0"/>
      </w:pPr>
      <w:bookmarkStart w:id="2" w:name="_Hlk42499465"/>
      <w:r>
        <w:rPr>
          <w:rFonts w:ascii="Times New Roman" w:hAnsi="Times New Roman"/>
          <w:sz w:val="24"/>
          <w:szCs w:val="24"/>
        </w:rPr>
        <w:t xml:space="preserve">The Fee Parcel and Easement Parcel are located at County Highway 6 in the Town of Middletown, County of Delaware. The Fee Parcel and Easement Parcel are more particularly described in a deed </w:t>
      </w:r>
      <w:r>
        <w:rPr>
          <w:rFonts w:ascii="Times New Roman" w:hAnsi="Times New Roman"/>
          <w:color w:val="222222"/>
          <w:sz w:val="24"/>
          <w:szCs w:val="24"/>
          <w:shd w:val="clear" w:color="auto" w:fill="FFFFFF"/>
        </w:rPr>
        <w:t>recorded in the Delaware County Clerk’s Office in Liber 1158 of Deeds at page 261</w:t>
      </w:r>
      <w:r>
        <w:rPr>
          <w:rFonts w:ascii="Times New Roman" w:hAnsi="Times New Roman"/>
          <w:b/>
          <w:bCs/>
          <w:color w:val="000000"/>
          <w:sz w:val="24"/>
          <w:szCs w:val="24"/>
        </w:rPr>
        <w:t xml:space="preserve"> </w:t>
      </w:r>
      <w:r>
        <w:rPr>
          <w:rFonts w:ascii="Times New Roman" w:hAnsi="Times New Roman"/>
          <w:sz w:val="24"/>
          <w:szCs w:val="24"/>
        </w:rPr>
        <w:t xml:space="preserve">The portions of property comprising the Fee Parcel and Easement Parcel are part of the Property owned </w:t>
      </w:r>
      <w:proofErr w:type="gramStart"/>
      <w:r>
        <w:rPr>
          <w:rFonts w:ascii="Times New Roman" w:hAnsi="Times New Roman"/>
          <w:sz w:val="24"/>
          <w:szCs w:val="24"/>
        </w:rPr>
        <w:t>by</w:t>
      </w:r>
      <w:proofErr w:type="gramEnd"/>
      <w:r>
        <w:rPr>
          <w:rFonts w:ascii="Times New Roman" w:hAnsi="Times New Roman"/>
          <w:sz w:val="24"/>
          <w:szCs w:val="24"/>
        </w:rPr>
        <w:t xml:space="preserve"> Michael Moriarty (hereinafter, the “Property Owner”). The Fee Parcel is encumbered by a WAC Conservation Easement that the Town Board also seeks to terminate</w:t>
      </w:r>
      <w:bookmarkEnd w:id="2"/>
      <w:r>
        <w:rPr>
          <w:rFonts w:ascii="Times New Roman" w:hAnsi="Times New Roman"/>
          <w:sz w:val="24"/>
          <w:szCs w:val="24"/>
        </w:rPr>
        <w:t xml:space="preserve">. The Fee Parcel and Easement Parcel to be acquired and WAC Conservation Easement to be terminated through eminent domain are hereinafter referred to collectively as the “Property”. </w:t>
      </w:r>
    </w:p>
    <w:p w14:paraId="41A5A20F" w14:textId="5520C8C4" w:rsidR="00131F7B" w:rsidRDefault="00131F7B" w:rsidP="00131F7B">
      <w:pPr>
        <w:pStyle w:val="NoSpacing"/>
        <w:ind w:left="0" w:firstLine="0"/>
        <w:rPr>
          <w:rFonts w:ascii="Times New Roman" w:hAnsi="Times New Roman"/>
          <w:sz w:val="24"/>
          <w:szCs w:val="24"/>
        </w:rPr>
      </w:pPr>
    </w:p>
    <w:p w14:paraId="65C2DA5F" w14:textId="10FFC2A8" w:rsidR="00EC7653" w:rsidRDefault="00EC7653" w:rsidP="00131F7B">
      <w:pPr>
        <w:pStyle w:val="NoSpacing"/>
        <w:ind w:left="0" w:firstLine="0"/>
        <w:rPr>
          <w:rFonts w:ascii="Times New Roman" w:hAnsi="Times New Roman"/>
          <w:sz w:val="24"/>
          <w:szCs w:val="24"/>
        </w:rPr>
      </w:pPr>
    </w:p>
    <w:p w14:paraId="3EDB716F" w14:textId="77777777" w:rsidR="00EC7653" w:rsidRPr="00131F7B" w:rsidRDefault="00EC7653" w:rsidP="00131F7B">
      <w:pPr>
        <w:pStyle w:val="NoSpacing"/>
        <w:ind w:left="0" w:firstLine="0"/>
        <w:rPr>
          <w:rFonts w:ascii="Times New Roman" w:hAnsi="Times New Roman"/>
          <w:sz w:val="24"/>
          <w:szCs w:val="24"/>
        </w:rPr>
      </w:pPr>
    </w:p>
    <w:p w14:paraId="0A46E4AE" w14:textId="77777777" w:rsidR="00C959D4" w:rsidRPr="003F5964" w:rsidRDefault="00133EA2" w:rsidP="00FC1469">
      <w:pPr>
        <w:pStyle w:val="CM9"/>
        <w:spacing w:after="267" w:line="278" w:lineRule="atLeast"/>
        <w:ind w:right="-90" w:firstLine="720"/>
        <w:jc w:val="both"/>
      </w:pPr>
      <w:r w:rsidRPr="003F5964">
        <w:lastRenderedPageBreak/>
        <w:t xml:space="preserve">The </w:t>
      </w:r>
      <w:r w:rsidR="00C959D4" w:rsidRPr="003F5964">
        <w:t xml:space="preserve">public hearing was duly held as scheduled, and the purpose and proposed location of the public project and all other pertinent information was outlined, and thereafter all persons in attendance were given a reasonable opportunity to present oral or written statements, or to submit other documentation concerning the specified public project, and a record of the hearing was made, and </w:t>
      </w:r>
    </w:p>
    <w:p w14:paraId="5CBFA8C6" w14:textId="14BA5C33" w:rsidR="00103E7F" w:rsidRPr="003F5964" w:rsidRDefault="00133EA2" w:rsidP="00FC1469">
      <w:pPr>
        <w:pStyle w:val="Default"/>
        <w:ind w:firstLine="720"/>
        <w:jc w:val="both"/>
      </w:pPr>
      <w:r w:rsidRPr="003F5964">
        <w:t>B</w:t>
      </w:r>
      <w:r w:rsidR="00103E7F" w:rsidRPr="003F5964">
        <w:t xml:space="preserve">ased upon the EAF </w:t>
      </w:r>
      <w:r w:rsidR="00A93320" w:rsidRPr="003F5964">
        <w:t xml:space="preserve">and other supporting documentation </w:t>
      </w:r>
      <w:r w:rsidR="00103E7F" w:rsidRPr="003F5964">
        <w:t>prepared pursuant to SEQRA, the Town Board determine</w:t>
      </w:r>
      <w:r w:rsidR="002212DF" w:rsidRPr="003F5964">
        <w:t>d</w:t>
      </w:r>
      <w:r w:rsidRPr="003F5964">
        <w:t xml:space="preserve"> that the community sewer system including </w:t>
      </w:r>
      <w:r w:rsidR="00103E7F" w:rsidRPr="003F5964">
        <w:t>the acquisition of the lands (both</w:t>
      </w:r>
      <w:r w:rsidR="00131F7B">
        <w:t xml:space="preserve"> Fee Parcel and Easement Parcel and termination of the WAC Conservation Easement</w:t>
      </w:r>
      <w:r w:rsidR="00103E7F" w:rsidRPr="003F5964">
        <w:t>) will have no significant environmental impact or adverse impact on local residents, as the project will provide benefits and enhance the environment and assist in maintaining and enhancing water quality in the area. The Town Board adopted its Ne</w:t>
      </w:r>
      <w:r w:rsidR="003F5964">
        <w:t>gative Declaration on</w:t>
      </w:r>
      <w:r w:rsidR="00131F7B">
        <w:t xml:space="preserve"> </w:t>
      </w:r>
      <w:r w:rsidR="00B96E1E">
        <w:t>May 8</w:t>
      </w:r>
      <w:r w:rsidR="00131F7B">
        <w:t>, 2019</w:t>
      </w:r>
      <w:r w:rsidR="00103E7F" w:rsidRPr="003F5964">
        <w:t>.</w:t>
      </w:r>
    </w:p>
    <w:p w14:paraId="3FBA8B4C" w14:textId="77777777" w:rsidR="00103E7F" w:rsidRPr="003F5964" w:rsidRDefault="00103E7F" w:rsidP="00103E7F">
      <w:pPr>
        <w:pStyle w:val="Default"/>
      </w:pPr>
    </w:p>
    <w:p w14:paraId="727EB481" w14:textId="3D0A66F9" w:rsidR="00C959D4" w:rsidRPr="00131F7B" w:rsidRDefault="00133EA2" w:rsidP="00FC1469">
      <w:pPr>
        <w:pStyle w:val="CM9"/>
        <w:spacing w:after="267" w:line="278" w:lineRule="atLeast"/>
        <w:ind w:right="-90" w:firstLine="720"/>
        <w:jc w:val="both"/>
      </w:pPr>
      <w:r w:rsidRPr="003F5964">
        <w:t>At its Board meeting on</w:t>
      </w:r>
      <w:r w:rsidR="00131F7B">
        <w:t xml:space="preserve"> August 1</w:t>
      </w:r>
      <w:r w:rsidR="00EC7653">
        <w:t>2</w:t>
      </w:r>
      <w:r w:rsidR="00131F7B">
        <w:t>, 2020</w:t>
      </w:r>
      <w:r w:rsidRPr="003F5964">
        <w:t xml:space="preserve">, </w:t>
      </w:r>
      <w:r w:rsidR="00C959D4" w:rsidRPr="003F5964">
        <w:t>the Town Board of the Town of</w:t>
      </w:r>
      <w:r w:rsidR="005F0BD6">
        <w:t xml:space="preserve"> Middletown</w:t>
      </w:r>
      <w:r w:rsidR="00C959D4" w:rsidRPr="003F5964">
        <w:t xml:space="preserve">, pursuant to the Constitution of the State of New York, Town Law and Eminent Domain </w:t>
      </w:r>
      <w:r w:rsidR="00C959D4" w:rsidRPr="00131F7B">
        <w:t xml:space="preserve">Procedure Law, </w:t>
      </w:r>
      <w:r w:rsidRPr="00131F7B">
        <w:t xml:space="preserve">made </w:t>
      </w:r>
      <w:r w:rsidR="00C959D4" w:rsidRPr="00131F7B">
        <w:t>dete</w:t>
      </w:r>
      <w:r w:rsidR="00103E7F" w:rsidRPr="00131F7B">
        <w:t>rm</w:t>
      </w:r>
      <w:r w:rsidR="00C959D4" w:rsidRPr="00131F7B">
        <w:t>ination and findings</w:t>
      </w:r>
      <w:r w:rsidRPr="00131F7B">
        <w:t xml:space="preserve"> including the following</w:t>
      </w:r>
      <w:r w:rsidR="00C959D4" w:rsidRPr="00131F7B">
        <w:t xml:space="preserve">: </w:t>
      </w:r>
    </w:p>
    <w:p w14:paraId="229D28EA" w14:textId="77777777" w:rsidR="00D44AB0" w:rsidRDefault="00131F7B" w:rsidP="00D44AB0">
      <w:pPr>
        <w:pStyle w:val="NoSpacing"/>
        <w:numPr>
          <w:ilvl w:val="0"/>
          <w:numId w:val="6"/>
        </w:numPr>
        <w:rPr>
          <w:rFonts w:ascii="Times New Roman" w:hAnsi="Times New Roman"/>
          <w:sz w:val="24"/>
          <w:szCs w:val="24"/>
        </w:rPr>
      </w:pPr>
      <w:r w:rsidRPr="00131F7B">
        <w:rPr>
          <w:rFonts w:ascii="Times New Roman" w:hAnsi="Times New Roman"/>
          <w:sz w:val="24"/>
          <w:szCs w:val="24"/>
        </w:rPr>
        <w:t xml:space="preserve">The Property to be </w:t>
      </w:r>
      <w:r w:rsidR="00C959D4" w:rsidRPr="00131F7B">
        <w:rPr>
          <w:rFonts w:ascii="Times New Roman" w:hAnsi="Times New Roman"/>
          <w:sz w:val="24"/>
          <w:szCs w:val="24"/>
        </w:rPr>
        <w:t>acquired by the exercise of eminent domain</w:t>
      </w:r>
      <w:r w:rsidR="00C91795">
        <w:rPr>
          <w:rFonts w:ascii="Times New Roman" w:hAnsi="Times New Roman"/>
          <w:sz w:val="24"/>
          <w:szCs w:val="24"/>
        </w:rPr>
        <w:t xml:space="preserve"> is identified as</w:t>
      </w:r>
      <w:r w:rsidRPr="00131F7B">
        <w:rPr>
          <w:rFonts w:ascii="Times New Roman" w:hAnsi="Times New Roman"/>
          <w:sz w:val="24"/>
          <w:szCs w:val="24"/>
        </w:rPr>
        <w:t xml:space="preserve">: </w:t>
      </w:r>
      <w:r w:rsidRPr="00131F7B">
        <w:rPr>
          <w:rFonts w:ascii="Times New Roman" w:hAnsi="Times New Roman"/>
          <w:color w:val="000000"/>
          <w:sz w:val="24"/>
          <w:szCs w:val="24"/>
        </w:rPr>
        <w:t xml:space="preserve">Fee Acquisition of a 21.7 acres portion of an 89.85 acres parcel identified on the Middletown Tax Map as Parcel No. </w:t>
      </w:r>
      <w:r w:rsidRPr="00131F7B">
        <w:rPr>
          <w:rFonts w:ascii="Times New Roman" w:hAnsi="Times New Roman"/>
          <w:sz w:val="24"/>
          <w:szCs w:val="24"/>
        </w:rPr>
        <w:t>241.-1-1.1</w:t>
      </w:r>
      <w:r w:rsidRPr="00131F7B">
        <w:rPr>
          <w:rFonts w:ascii="Times New Roman" w:hAnsi="Times New Roman"/>
          <w:color w:val="000000"/>
          <w:sz w:val="24"/>
          <w:szCs w:val="24"/>
        </w:rPr>
        <w:t xml:space="preserve"> (the 21.7 acre portion of the parcel to be acquired is hereinafter referred to as the “Fee Parcel”);</w:t>
      </w:r>
      <w:r w:rsidR="00C91795">
        <w:rPr>
          <w:rFonts w:ascii="Times New Roman" w:hAnsi="Times New Roman"/>
          <w:color w:val="000000"/>
          <w:sz w:val="24"/>
          <w:szCs w:val="24"/>
        </w:rPr>
        <w:t xml:space="preserve"> Permanent Easement for access to the Fee Parcel over the </w:t>
      </w:r>
      <w:proofErr w:type="spellStart"/>
      <w:r w:rsidR="00C91795">
        <w:rPr>
          <w:rFonts w:ascii="Times New Roman" w:hAnsi="Times New Roman"/>
          <w:color w:val="000000"/>
          <w:sz w:val="24"/>
          <w:szCs w:val="24"/>
        </w:rPr>
        <w:t>remining</w:t>
      </w:r>
      <w:proofErr w:type="spellEnd"/>
      <w:r w:rsidR="00C91795">
        <w:rPr>
          <w:rFonts w:ascii="Times New Roman" w:hAnsi="Times New Roman"/>
          <w:color w:val="000000"/>
          <w:sz w:val="24"/>
          <w:szCs w:val="24"/>
        </w:rPr>
        <w:t xml:space="preserve"> portion of Tax Map Parcel No. </w:t>
      </w:r>
      <w:r w:rsidR="00C91795">
        <w:rPr>
          <w:rFonts w:ascii="Times New Roman" w:hAnsi="Times New Roman"/>
          <w:sz w:val="24"/>
          <w:szCs w:val="24"/>
        </w:rPr>
        <w:t>241.-1-1.1</w:t>
      </w:r>
      <w:r w:rsidR="00C91795">
        <w:rPr>
          <w:rFonts w:ascii="Times New Roman" w:hAnsi="Times New Roman"/>
          <w:color w:val="000000"/>
          <w:sz w:val="24"/>
          <w:szCs w:val="24"/>
        </w:rPr>
        <w:t xml:space="preserve"> </w:t>
      </w:r>
      <w:r w:rsidR="00C91795">
        <w:rPr>
          <w:rFonts w:ascii="Times New Roman" w:hAnsi="Times New Roman"/>
          <w:sz w:val="24"/>
          <w:szCs w:val="24"/>
        </w:rPr>
        <w:t xml:space="preserve">(“Easement Parcel”), and; Termination of a WAC Conservation Easement encumbering the Fee Parcel. </w:t>
      </w:r>
    </w:p>
    <w:p w14:paraId="1EF0FD8C" w14:textId="77777777" w:rsidR="00D44AB0" w:rsidRDefault="00D44AB0" w:rsidP="00D44AB0">
      <w:pPr>
        <w:pStyle w:val="NoSpacing"/>
        <w:ind w:firstLine="0"/>
        <w:rPr>
          <w:rFonts w:ascii="Times New Roman" w:hAnsi="Times New Roman"/>
          <w:sz w:val="24"/>
          <w:szCs w:val="24"/>
        </w:rPr>
      </w:pPr>
    </w:p>
    <w:p w14:paraId="387EC8BA" w14:textId="61012638" w:rsidR="000D6092" w:rsidRDefault="00103E7F" w:rsidP="000D6092">
      <w:pPr>
        <w:pStyle w:val="NoSpacing"/>
        <w:numPr>
          <w:ilvl w:val="0"/>
          <w:numId w:val="6"/>
        </w:numPr>
        <w:rPr>
          <w:rFonts w:ascii="Times New Roman" w:hAnsi="Times New Roman"/>
          <w:sz w:val="24"/>
          <w:szCs w:val="24"/>
        </w:rPr>
      </w:pPr>
      <w:r w:rsidRPr="00D44AB0">
        <w:rPr>
          <w:rFonts w:ascii="Times New Roman" w:hAnsi="Times New Roman"/>
          <w:sz w:val="24"/>
          <w:szCs w:val="24"/>
        </w:rPr>
        <w:t>The land</w:t>
      </w:r>
      <w:r w:rsidR="00C959D4" w:rsidRPr="00D44AB0">
        <w:rPr>
          <w:rFonts w:ascii="Times New Roman" w:hAnsi="Times New Roman"/>
          <w:sz w:val="24"/>
          <w:szCs w:val="24"/>
        </w:rPr>
        <w:t xml:space="preserve"> so acquired shall be used for public use and is necessary for the protection of the environment and the health, safety and welfare of the residents of th</w:t>
      </w:r>
      <w:r w:rsidR="007D61FD">
        <w:rPr>
          <w:rFonts w:ascii="Times New Roman" w:hAnsi="Times New Roman"/>
          <w:sz w:val="24"/>
          <w:szCs w:val="24"/>
        </w:rPr>
        <w:t>e Town of Middletown</w:t>
      </w:r>
      <w:r w:rsidR="00133EA2" w:rsidRPr="00D44AB0">
        <w:rPr>
          <w:rFonts w:ascii="Times New Roman" w:hAnsi="Times New Roman"/>
          <w:sz w:val="24"/>
          <w:szCs w:val="24"/>
        </w:rPr>
        <w:t xml:space="preserve">. The engineering study prepared by the Town’s Engineer determined that </w:t>
      </w:r>
      <w:r w:rsidR="00787CC6" w:rsidRPr="00D44AB0">
        <w:rPr>
          <w:rFonts w:ascii="Times New Roman" w:hAnsi="Times New Roman"/>
          <w:sz w:val="24"/>
          <w:szCs w:val="24"/>
        </w:rPr>
        <w:t>there is an overwhelming predominance of small and otherwise problematic lots in the hamlet that co</w:t>
      </w:r>
      <w:r w:rsidR="007D61FD">
        <w:rPr>
          <w:rFonts w:ascii="Times New Roman" w:hAnsi="Times New Roman"/>
          <w:sz w:val="24"/>
          <w:szCs w:val="24"/>
        </w:rPr>
        <w:t>u</w:t>
      </w:r>
      <w:r w:rsidR="00787CC6" w:rsidRPr="00D44AB0">
        <w:rPr>
          <w:rFonts w:ascii="Times New Roman" w:hAnsi="Times New Roman"/>
          <w:sz w:val="24"/>
          <w:szCs w:val="24"/>
        </w:rPr>
        <w:t xml:space="preserve">ld not meet design standards for individual on-site septic systems. </w:t>
      </w:r>
      <w:r w:rsidR="00D44AB0" w:rsidRPr="00D44AB0">
        <w:rPr>
          <w:rFonts w:ascii="Times New Roman" w:hAnsi="Times New Roman"/>
          <w:sz w:val="24"/>
          <w:szCs w:val="24"/>
        </w:rPr>
        <w:t xml:space="preserve">A Small Diameter Gravity Sewer (“SDGS”) was recommended as the preferred wastewater solution for the hamlet of New Kingston, </w:t>
      </w:r>
      <w:r w:rsidR="00D44AB0" w:rsidRPr="00D44AB0">
        <w:rPr>
          <w:rFonts w:ascii="TimesNewRomanPSMT" w:hAnsi="TimesNewRomanPSMT"/>
          <w:color w:val="000000"/>
          <w:sz w:val="24"/>
          <w:szCs w:val="24"/>
        </w:rPr>
        <w:t>due in part to the flexibility of the layout of an SDGS, the elimination of the need for</w:t>
      </w:r>
      <w:r w:rsidR="00D44AB0" w:rsidRPr="00D44AB0">
        <w:rPr>
          <w:rFonts w:ascii="TimesNewRomanPSMT" w:hAnsi="TimesNewRomanPSMT"/>
          <w:color w:val="000000"/>
        </w:rPr>
        <w:t xml:space="preserve"> </w:t>
      </w:r>
      <w:r w:rsidR="00D44AB0" w:rsidRPr="00D44AB0">
        <w:rPr>
          <w:rFonts w:ascii="TimesNewRomanPSMT" w:hAnsi="TimesNewRomanPSMT"/>
          <w:color w:val="000000"/>
          <w:sz w:val="24"/>
          <w:szCs w:val="24"/>
        </w:rPr>
        <w:t>manholes and primary treatment facilities at the wastewater</w:t>
      </w:r>
      <w:r w:rsidR="00D44AB0" w:rsidRPr="00D44AB0">
        <w:rPr>
          <w:rFonts w:ascii="TimesNewRomanPSMT" w:hAnsi="TimesNewRomanPSMT"/>
          <w:color w:val="000000"/>
        </w:rPr>
        <w:t xml:space="preserve"> </w:t>
      </w:r>
      <w:r w:rsidR="00D44AB0" w:rsidRPr="00D44AB0">
        <w:rPr>
          <w:rFonts w:ascii="TimesNewRomanPSMT" w:hAnsi="TimesNewRomanPSMT"/>
          <w:color w:val="000000"/>
          <w:sz w:val="24"/>
          <w:szCs w:val="24"/>
        </w:rPr>
        <w:t xml:space="preserve">treatment </w:t>
      </w:r>
      <w:r w:rsidR="00D44AB0" w:rsidRPr="00D44AB0">
        <w:rPr>
          <w:rFonts w:ascii="Times New Roman" w:hAnsi="Times New Roman"/>
          <w:color w:val="000000"/>
          <w:sz w:val="24"/>
          <w:szCs w:val="24"/>
        </w:rPr>
        <w:t>facility, all of which result in a reduction of the overall project cost. Areas that are too low for gravity sewers will be augmented with an effluent pump.</w:t>
      </w:r>
      <w:r w:rsidR="00D44AB0">
        <w:rPr>
          <w:rFonts w:ascii="Times New Roman" w:hAnsi="Times New Roman"/>
          <w:color w:val="000000"/>
        </w:rPr>
        <w:t xml:space="preserve"> </w:t>
      </w:r>
      <w:r w:rsidR="00D44AB0" w:rsidRPr="00D44AB0">
        <w:rPr>
          <w:rFonts w:ascii="Times New Roman" w:hAnsi="Times New Roman"/>
          <w:color w:val="000000"/>
          <w:sz w:val="24"/>
          <w:szCs w:val="24"/>
        </w:rPr>
        <w:t xml:space="preserve">The Project will include </w:t>
      </w:r>
      <w:r w:rsidR="00D44AB0" w:rsidRPr="00D44AB0">
        <w:rPr>
          <w:rFonts w:ascii="Times New Roman" w:hAnsi="Times New Roman"/>
          <w:sz w:val="24"/>
          <w:szCs w:val="24"/>
        </w:rPr>
        <w:t xml:space="preserve">2,400 LF of small diameter gravity sewer main, 3,200 LF of small diameter force main, 560 LF of lateral stubs, and one (1) main effluent pump station. Approximately twenty-eight (28) lateral connections are also proposed. Each lateral connection would receive a new septic tank equipped with an effluent filter.  </w:t>
      </w:r>
      <w:r w:rsidR="00D44AB0" w:rsidRPr="00D44AB0">
        <w:rPr>
          <w:rFonts w:ascii="Times New Roman" w:hAnsi="Times New Roman"/>
          <w:sz w:val="24"/>
        </w:rPr>
        <w:t>Five (5) of the lateral connections will have septic tank effluent pumps to convey their flows.</w:t>
      </w:r>
      <w:r w:rsidR="00D44AB0" w:rsidRPr="00D44AB0">
        <w:rPr>
          <w:sz w:val="24"/>
        </w:rPr>
        <w:t xml:space="preserve">  </w:t>
      </w:r>
      <w:bookmarkStart w:id="3" w:name="_Hlk510008972"/>
      <w:r w:rsidR="00D44AB0">
        <w:rPr>
          <w:rFonts w:ascii="Times New Roman" w:hAnsi="Times New Roman"/>
          <w:sz w:val="24"/>
          <w:szCs w:val="24"/>
        </w:rPr>
        <w:t xml:space="preserve">Final </w:t>
      </w:r>
      <w:r w:rsidR="00D44AB0" w:rsidRPr="005A0A36">
        <w:rPr>
          <w:rFonts w:ascii="Times New Roman" w:hAnsi="Times New Roman"/>
          <w:sz w:val="24"/>
          <w:szCs w:val="24"/>
        </w:rPr>
        <w:t xml:space="preserve">treatment and disposal will occur through </w:t>
      </w:r>
      <w:r w:rsidR="00D44AB0">
        <w:rPr>
          <w:rFonts w:ascii="Times New Roman" w:hAnsi="Times New Roman"/>
          <w:sz w:val="24"/>
          <w:szCs w:val="24"/>
        </w:rPr>
        <w:t xml:space="preserve">a community subsurface wastewater treatment facility, </w:t>
      </w:r>
      <w:r w:rsidR="00D44AB0" w:rsidRPr="005A0A36">
        <w:rPr>
          <w:rFonts w:ascii="Times New Roman" w:hAnsi="Times New Roman"/>
          <w:sz w:val="24"/>
          <w:szCs w:val="24"/>
        </w:rPr>
        <w:t>consist</w:t>
      </w:r>
      <w:r w:rsidR="00D44AB0">
        <w:rPr>
          <w:rFonts w:ascii="Times New Roman" w:hAnsi="Times New Roman"/>
          <w:sz w:val="24"/>
          <w:szCs w:val="24"/>
        </w:rPr>
        <w:t>ing</w:t>
      </w:r>
      <w:r w:rsidR="00D44AB0" w:rsidRPr="005A0A36">
        <w:rPr>
          <w:rFonts w:ascii="Times New Roman" w:hAnsi="Times New Roman"/>
          <w:sz w:val="24"/>
          <w:szCs w:val="24"/>
        </w:rPr>
        <w:t xml:space="preserve"> of a receiving manhole, a flow meter, an absorption bed dosing pump station and shallow absorption beds</w:t>
      </w:r>
      <w:bookmarkEnd w:id="3"/>
      <w:r w:rsidR="00D44AB0">
        <w:rPr>
          <w:rFonts w:ascii="Times New Roman" w:hAnsi="Times New Roman"/>
          <w:sz w:val="24"/>
          <w:szCs w:val="24"/>
        </w:rPr>
        <w:t xml:space="preserve"> (“Treatment System”)</w:t>
      </w:r>
      <w:r w:rsidR="00D44AB0" w:rsidRPr="005A0A36">
        <w:rPr>
          <w:rFonts w:ascii="Times New Roman" w:hAnsi="Times New Roman"/>
          <w:sz w:val="24"/>
          <w:szCs w:val="24"/>
        </w:rPr>
        <w:t xml:space="preserve">. As required on other </w:t>
      </w:r>
      <w:r w:rsidR="007D61FD">
        <w:rPr>
          <w:rFonts w:ascii="Times New Roman" w:hAnsi="Times New Roman"/>
          <w:sz w:val="24"/>
          <w:szCs w:val="24"/>
        </w:rPr>
        <w:t>Community Wastewater Management Program (“</w:t>
      </w:r>
      <w:r w:rsidR="00D44AB0" w:rsidRPr="005A0A36">
        <w:rPr>
          <w:rFonts w:ascii="Times New Roman" w:hAnsi="Times New Roman"/>
          <w:sz w:val="24"/>
          <w:szCs w:val="24"/>
        </w:rPr>
        <w:t>CWMP</w:t>
      </w:r>
      <w:r w:rsidR="007D61FD">
        <w:rPr>
          <w:rFonts w:ascii="Times New Roman" w:hAnsi="Times New Roman"/>
          <w:sz w:val="24"/>
          <w:szCs w:val="24"/>
        </w:rPr>
        <w:t>”)</w:t>
      </w:r>
      <w:r w:rsidR="00D44AB0" w:rsidRPr="005A0A36">
        <w:rPr>
          <w:rFonts w:ascii="Times New Roman" w:hAnsi="Times New Roman"/>
          <w:sz w:val="24"/>
          <w:szCs w:val="24"/>
        </w:rPr>
        <w:t xml:space="preserve"> project subsurface treatment systems, the </w:t>
      </w:r>
      <w:r w:rsidR="00D44AB0">
        <w:rPr>
          <w:rFonts w:ascii="Times New Roman" w:hAnsi="Times New Roman"/>
          <w:sz w:val="24"/>
          <w:szCs w:val="24"/>
        </w:rPr>
        <w:t xml:space="preserve">Treatment System </w:t>
      </w:r>
      <w:r w:rsidR="00D44AB0" w:rsidRPr="005A0A36">
        <w:rPr>
          <w:rFonts w:ascii="Times New Roman" w:hAnsi="Times New Roman"/>
          <w:sz w:val="24"/>
          <w:szCs w:val="24"/>
        </w:rPr>
        <w:t xml:space="preserve">will be constructed in 3 sections each capable of handling 50% of the design flow and will be dosed with a pressure distribution system.  The application rate of the absorption beds will be 0.5625 </w:t>
      </w:r>
      <w:proofErr w:type="spellStart"/>
      <w:r w:rsidR="00D44AB0" w:rsidRPr="005A0A36">
        <w:rPr>
          <w:rFonts w:ascii="Times New Roman" w:hAnsi="Times New Roman"/>
          <w:sz w:val="24"/>
          <w:szCs w:val="24"/>
        </w:rPr>
        <w:t>gpd</w:t>
      </w:r>
      <w:proofErr w:type="spellEnd"/>
      <w:r w:rsidR="00D44AB0" w:rsidRPr="005A0A36">
        <w:rPr>
          <w:rFonts w:ascii="Times New Roman" w:hAnsi="Times New Roman"/>
          <w:sz w:val="24"/>
          <w:szCs w:val="24"/>
        </w:rPr>
        <w:t xml:space="preserve">/sf (0.6 </w:t>
      </w:r>
      <w:proofErr w:type="spellStart"/>
      <w:r w:rsidR="00D44AB0" w:rsidRPr="005A0A36">
        <w:rPr>
          <w:rFonts w:ascii="Times New Roman" w:hAnsi="Times New Roman"/>
          <w:sz w:val="24"/>
          <w:szCs w:val="24"/>
        </w:rPr>
        <w:t>gpd</w:t>
      </w:r>
      <w:proofErr w:type="spellEnd"/>
      <w:r w:rsidR="00D44AB0" w:rsidRPr="005A0A36">
        <w:rPr>
          <w:rFonts w:ascii="Times New Roman" w:hAnsi="Times New Roman"/>
          <w:sz w:val="24"/>
          <w:szCs w:val="24"/>
        </w:rPr>
        <w:t>/sf with a 30-minute percolation rate, reduced by 25% for using absorption beds and then increased by 25% for constructing 150% of the required absorption area).</w:t>
      </w:r>
      <w:r w:rsidR="00D44AB0">
        <w:rPr>
          <w:rFonts w:ascii="Times New Roman" w:hAnsi="Times New Roman"/>
          <w:sz w:val="24"/>
          <w:szCs w:val="24"/>
        </w:rPr>
        <w:t xml:space="preserve"> </w:t>
      </w:r>
      <w:r w:rsidR="00D44AB0" w:rsidRPr="003E4E17">
        <w:rPr>
          <w:rFonts w:ascii="Times New Roman" w:hAnsi="Times New Roman"/>
          <w:sz w:val="24"/>
          <w:szCs w:val="24"/>
        </w:rPr>
        <w:t xml:space="preserve">The </w:t>
      </w:r>
      <w:r w:rsidR="00D44AB0">
        <w:rPr>
          <w:rFonts w:ascii="Times New Roman" w:hAnsi="Times New Roman"/>
          <w:sz w:val="24"/>
          <w:szCs w:val="24"/>
        </w:rPr>
        <w:t xml:space="preserve">Property acquisition </w:t>
      </w:r>
      <w:r w:rsidR="00D44AB0" w:rsidRPr="003E4E17">
        <w:rPr>
          <w:rFonts w:ascii="Times New Roman" w:hAnsi="Times New Roman"/>
          <w:sz w:val="24"/>
          <w:szCs w:val="24"/>
        </w:rPr>
        <w:t xml:space="preserve">is integral to and necessary for </w:t>
      </w:r>
      <w:r w:rsidR="00D44AB0" w:rsidRPr="003E4E17">
        <w:rPr>
          <w:rFonts w:ascii="Times New Roman" w:hAnsi="Times New Roman"/>
          <w:sz w:val="24"/>
          <w:szCs w:val="24"/>
        </w:rPr>
        <w:lastRenderedPageBreak/>
        <w:t>implementing the Project. Because protection of drinking water is paramount for the benefit of the community and the City of New York, the Project will facilitate a dual agenda of a sustainable plan for the future, as well as address an immediate community need.</w:t>
      </w:r>
    </w:p>
    <w:p w14:paraId="30321A98" w14:textId="77777777" w:rsidR="000D6092" w:rsidRDefault="000D6092" w:rsidP="000D6092">
      <w:pPr>
        <w:pStyle w:val="NoSpacing"/>
        <w:ind w:firstLine="0"/>
        <w:rPr>
          <w:rFonts w:ascii="Times New Roman" w:hAnsi="Times New Roman"/>
          <w:sz w:val="24"/>
          <w:szCs w:val="24"/>
        </w:rPr>
      </w:pPr>
    </w:p>
    <w:p w14:paraId="768029A3" w14:textId="77777777" w:rsidR="00B96E1E" w:rsidRDefault="00D44AB0" w:rsidP="00B96E1E">
      <w:pPr>
        <w:pStyle w:val="NoSpacing"/>
        <w:numPr>
          <w:ilvl w:val="0"/>
          <w:numId w:val="6"/>
        </w:numPr>
        <w:rPr>
          <w:rFonts w:ascii="Times New Roman" w:hAnsi="Times New Roman"/>
          <w:sz w:val="24"/>
          <w:szCs w:val="24"/>
        </w:rPr>
      </w:pPr>
      <w:r w:rsidRPr="000D6092">
        <w:rPr>
          <w:rFonts w:ascii="Times New Roman" w:hAnsi="Times New Roman"/>
          <w:sz w:val="24"/>
          <w:szCs w:val="24"/>
        </w:rPr>
        <w:t xml:space="preserve">The location of the Property to be acquired was selected </w:t>
      </w:r>
      <w:r w:rsidR="000D6092" w:rsidRPr="000D6092">
        <w:rPr>
          <w:rFonts w:ascii="Times New Roman" w:hAnsi="Times New Roman"/>
          <w:sz w:val="24"/>
          <w:szCs w:val="24"/>
        </w:rPr>
        <w:t xml:space="preserve">following an in-depth evaluation of the preferred wastewater solution for the Hamlet of New Kingston as described in the study performed by the Town’s Engineer. A CD containing the Engineering Report is on file with the Town Clerk. A discussion of the alternative sites that were evaluated is included in the Engineering Report and in the Comment/Response document published and incorporated in the Town Board’s Determination and Finding. The second and determining factor in the site selection process is that the funding requirements for the Project specify the site location must be reviewed and approved by the City of New York Department of Environmental Protection (“DEP”). In reviewing and approving the site location, DEP gives priority to the potential impact on its water supply and the ability to obtain water quality protection. This Property is and was the only location that met DEP approval. </w:t>
      </w:r>
    </w:p>
    <w:p w14:paraId="2DCA3C77" w14:textId="77777777" w:rsidR="00B96E1E" w:rsidRDefault="00B96E1E" w:rsidP="00B96E1E">
      <w:pPr>
        <w:pStyle w:val="ListParagraph"/>
        <w:rPr>
          <w:szCs w:val="24"/>
        </w:rPr>
      </w:pPr>
    </w:p>
    <w:p w14:paraId="0FB665E0" w14:textId="2FB00800" w:rsidR="00B96E1E" w:rsidRPr="00B96E1E" w:rsidRDefault="000D6092" w:rsidP="00B96E1E">
      <w:pPr>
        <w:pStyle w:val="NoSpacing"/>
        <w:numPr>
          <w:ilvl w:val="0"/>
          <w:numId w:val="6"/>
        </w:numPr>
        <w:rPr>
          <w:rFonts w:ascii="Times New Roman" w:hAnsi="Times New Roman"/>
          <w:sz w:val="24"/>
          <w:szCs w:val="24"/>
        </w:rPr>
      </w:pPr>
      <w:r w:rsidRPr="00B96E1E">
        <w:rPr>
          <w:rFonts w:ascii="Times New Roman" w:hAnsi="Times New Roman"/>
          <w:sz w:val="24"/>
          <w:szCs w:val="24"/>
        </w:rPr>
        <w:t>The funding for Property acquisition shall be obtained from the DEP through the</w:t>
      </w:r>
      <w:r w:rsidR="007D61FD">
        <w:rPr>
          <w:rFonts w:ascii="Times New Roman" w:hAnsi="Times New Roman"/>
          <w:sz w:val="24"/>
          <w:szCs w:val="24"/>
        </w:rPr>
        <w:t xml:space="preserve"> CWMP</w:t>
      </w:r>
      <w:r w:rsidRPr="00B96E1E">
        <w:rPr>
          <w:rFonts w:ascii="Times New Roman" w:hAnsi="Times New Roman"/>
          <w:sz w:val="24"/>
          <w:szCs w:val="24"/>
        </w:rPr>
        <w:t xml:space="preserve">, which is administered by the Catskill Watershed Corporation (“CWC”). </w:t>
      </w:r>
      <w:r w:rsidRPr="00B96E1E">
        <w:rPr>
          <w:rFonts w:ascii="TimesNewRomanPSMT" w:hAnsi="TimesNewRomanPSMT"/>
          <w:color w:val="000000"/>
          <w:sz w:val="24"/>
          <w:szCs w:val="24"/>
        </w:rPr>
        <w:t xml:space="preserve">The New Kingston Sewer District has a adopted a Sewer Use Law </w:t>
      </w:r>
      <w:r w:rsidR="00B96E1E" w:rsidRPr="00B96E1E">
        <w:rPr>
          <w:rFonts w:ascii="TimesNewRomanPSMT" w:hAnsi="TimesNewRomanPSMT"/>
          <w:color w:val="000000"/>
          <w:sz w:val="24"/>
          <w:szCs w:val="24"/>
        </w:rPr>
        <w:t xml:space="preserve">which specifies </w:t>
      </w:r>
      <w:r w:rsidRPr="00B96E1E">
        <w:rPr>
          <w:rFonts w:ascii="TimesNewRomanPSMT" w:hAnsi="TimesNewRomanPSMT"/>
          <w:color w:val="000000"/>
          <w:sz w:val="24"/>
          <w:szCs w:val="24"/>
        </w:rPr>
        <w:t>the sewer rate structure and procedure for the Town Board to make decisions regarding future connections to the system.</w:t>
      </w:r>
      <w:r w:rsidR="00B96E1E" w:rsidRPr="00B96E1E">
        <w:rPr>
          <w:rFonts w:ascii="Times New Roman" w:hAnsi="Times New Roman"/>
          <w:sz w:val="24"/>
          <w:szCs w:val="24"/>
        </w:rPr>
        <w:t xml:space="preserve"> The proposed Sewer Use Law </w:t>
      </w:r>
      <w:r w:rsidR="00B96E1E">
        <w:rPr>
          <w:rFonts w:ascii="Times New Roman" w:hAnsi="Times New Roman"/>
          <w:sz w:val="24"/>
          <w:szCs w:val="24"/>
        </w:rPr>
        <w:t xml:space="preserve">establishes </w:t>
      </w:r>
      <w:r w:rsidR="00B96E1E" w:rsidRPr="00B96E1E">
        <w:rPr>
          <w:rFonts w:ascii="Times New Roman" w:hAnsi="Times New Roman"/>
          <w:sz w:val="24"/>
          <w:szCs w:val="24"/>
        </w:rPr>
        <w:t>a minimum annual charge of $250 per non-household. The Town estimates that there are approximately 2 non-households and thus the minimum annual charge will raise approximately $500</w:t>
      </w:r>
      <w:r w:rsidR="00B96E1E">
        <w:rPr>
          <w:rFonts w:ascii="Times New Roman" w:hAnsi="Times New Roman"/>
          <w:sz w:val="24"/>
          <w:szCs w:val="24"/>
        </w:rPr>
        <w:t xml:space="preserve"> (plus a potential additional charge based upon usage)</w:t>
      </w:r>
      <w:r w:rsidR="00B96E1E" w:rsidRPr="00B96E1E">
        <w:rPr>
          <w:rFonts w:ascii="Times New Roman" w:hAnsi="Times New Roman"/>
          <w:sz w:val="24"/>
          <w:szCs w:val="24"/>
        </w:rPr>
        <w:t>. The Town cautions that these are estimates of the expected cost and the actual cost will vary from these estimates.</w:t>
      </w:r>
    </w:p>
    <w:p w14:paraId="3AE577D9" w14:textId="77777777" w:rsidR="00B96E1E" w:rsidRDefault="00B96E1E" w:rsidP="00B96E1E">
      <w:pPr>
        <w:pStyle w:val="NoSpacing"/>
        <w:ind w:left="58" w:firstLine="0"/>
        <w:rPr>
          <w:rFonts w:ascii="Times New Roman" w:hAnsi="Times New Roman"/>
          <w:sz w:val="24"/>
          <w:szCs w:val="24"/>
        </w:rPr>
      </w:pPr>
    </w:p>
    <w:p w14:paraId="7AC5C2C7" w14:textId="77777777" w:rsidR="00B96E1E" w:rsidRDefault="00413020" w:rsidP="002A7EE8">
      <w:pPr>
        <w:pStyle w:val="NoSpacing"/>
        <w:numPr>
          <w:ilvl w:val="0"/>
          <w:numId w:val="6"/>
        </w:numPr>
        <w:rPr>
          <w:rFonts w:ascii="Times New Roman" w:hAnsi="Times New Roman"/>
          <w:sz w:val="24"/>
          <w:szCs w:val="24"/>
        </w:rPr>
      </w:pPr>
      <w:r w:rsidRPr="00B96E1E">
        <w:rPr>
          <w:rFonts w:ascii="Times New Roman" w:hAnsi="Times New Roman"/>
          <w:sz w:val="24"/>
          <w:szCs w:val="24"/>
        </w:rPr>
        <w:t>The Town Board adopted the</w:t>
      </w:r>
      <w:r w:rsidR="00C959D4" w:rsidRPr="00B96E1E">
        <w:rPr>
          <w:rFonts w:ascii="Times New Roman" w:hAnsi="Times New Roman"/>
          <w:sz w:val="24"/>
          <w:szCs w:val="24"/>
        </w:rPr>
        <w:t xml:space="preserve"> Determination and Findings, pursuant to </w:t>
      </w:r>
      <w:r w:rsidR="002A7EE8" w:rsidRPr="00B96E1E">
        <w:rPr>
          <w:rFonts w:ascii="Times New Roman" w:hAnsi="Times New Roman"/>
          <w:sz w:val="24"/>
          <w:szCs w:val="24"/>
        </w:rPr>
        <w:t>EDPL</w:t>
      </w:r>
      <w:r w:rsidRPr="00B96E1E">
        <w:rPr>
          <w:rFonts w:ascii="Times New Roman" w:hAnsi="Times New Roman"/>
          <w:sz w:val="24"/>
          <w:szCs w:val="24"/>
        </w:rPr>
        <w:t xml:space="preserve"> §204 and authorizes </w:t>
      </w:r>
      <w:r w:rsidR="00C959D4" w:rsidRPr="00B96E1E">
        <w:rPr>
          <w:rFonts w:ascii="Times New Roman" w:hAnsi="Times New Roman"/>
          <w:sz w:val="24"/>
          <w:szCs w:val="24"/>
        </w:rPr>
        <w:t xml:space="preserve">the Town </w:t>
      </w:r>
      <w:r w:rsidRPr="00B96E1E">
        <w:rPr>
          <w:rFonts w:ascii="Times New Roman" w:hAnsi="Times New Roman"/>
          <w:sz w:val="24"/>
          <w:szCs w:val="24"/>
        </w:rPr>
        <w:t>Clerk and the Town Attorney</w:t>
      </w:r>
      <w:r w:rsidR="002212DF" w:rsidRPr="00B96E1E">
        <w:rPr>
          <w:rFonts w:ascii="Times New Roman" w:hAnsi="Times New Roman"/>
          <w:sz w:val="24"/>
          <w:szCs w:val="24"/>
        </w:rPr>
        <w:t xml:space="preserve"> </w:t>
      </w:r>
      <w:r w:rsidR="00C959D4" w:rsidRPr="00B96E1E">
        <w:rPr>
          <w:rFonts w:ascii="Times New Roman" w:hAnsi="Times New Roman"/>
          <w:sz w:val="24"/>
          <w:szCs w:val="24"/>
        </w:rPr>
        <w:t>to take such steps as may be necessary</w:t>
      </w:r>
      <w:r w:rsidRPr="00B96E1E">
        <w:rPr>
          <w:rFonts w:ascii="Times New Roman" w:hAnsi="Times New Roman"/>
          <w:sz w:val="24"/>
          <w:szCs w:val="24"/>
        </w:rPr>
        <w:t xml:space="preserve"> to carry out the intent of the</w:t>
      </w:r>
      <w:r w:rsidR="00C959D4" w:rsidRPr="00B96E1E">
        <w:rPr>
          <w:rFonts w:ascii="Times New Roman" w:hAnsi="Times New Roman"/>
          <w:sz w:val="24"/>
          <w:szCs w:val="24"/>
        </w:rPr>
        <w:t xml:space="preserve"> resolution and to publish such findings in accordance with section 204 of the </w:t>
      </w:r>
      <w:r w:rsidR="002A7EE8" w:rsidRPr="00B96E1E">
        <w:rPr>
          <w:rFonts w:ascii="Times New Roman" w:hAnsi="Times New Roman"/>
          <w:sz w:val="24"/>
          <w:szCs w:val="24"/>
        </w:rPr>
        <w:t>EDPL</w:t>
      </w:r>
      <w:r w:rsidRPr="00B96E1E">
        <w:rPr>
          <w:rFonts w:ascii="Times New Roman" w:hAnsi="Times New Roman"/>
          <w:sz w:val="24"/>
          <w:szCs w:val="24"/>
        </w:rPr>
        <w:t xml:space="preserve"> and to mail copie</w:t>
      </w:r>
      <w:r w:rsidR="002A7EE8" w:rsidRPr="00B96E1E">
        <w:rPr>
          <w:rFonts w:ascii="Times New Roman" w:hAnsi="Times New Roman"/>
          <w:sz w:val="24"/>
          <w:szCs w:val="24"/>
        </w:rPr>
        <w:t>s of this notice together with n</w:t>
      </w:r>
      <w:r w:rsidRPr="00B96E1E">
        <w:rPr>
          <w:rFonts w:ascii="Times New Roman" w:hAnsi="Times New Roman"/>
          <w:sz w:val="24"/>
          <w:szCs w:val="24"/>
        </w:rPr>
        <w:t>ot</w:t>
      </w:r>
      <w:r w:rsidR="002A7EE8" w:rsidRPr="00B96E1E">
        <w:rPr>
          <w:rFonts w:ascii="Times New Roman" w:hAnsi="Times New Roman"/>
          <w:sz w:val="24"/>
          <w:szCs w:val="24"/>
        </w:rPr>
        <w:t xml:space="preserve">ice under Section 207 of the </w:t>
      </w:r>
      <w:r w:rsidRPr="00B96E1E">
        <w:rPr>
          <w:rFonts w:ascii="Times New Roman" w:hAnsi="Times New Roman"/>
          <w:sz w:val="24"/>
          <w:szCs w:val="24"/>
        </w:rPr>
        <w:t>EDPL regarding the procedure and timing for judicial review.</w:t>
      </w:r>
    </w:p>
    <w:p w14:paraId="0FCE5245" w14:textId="77777777" w:rsidR="00B96E1E" w:rsidRDefault="00B96E1E" w:rsidP="00B96E1E">
      <w:pPr>
        <w:pStyle w:val="ListParagraph"/>
        <w:rPr>
          <w:szCs w:val="24"/>
        </w:rPr>
      </w:pPr>
    </w:p>
    <w:p w14:paraId="1CDDDFBC" w14:textId="77777777" w:rsidR="00B96E1E" w:rsidRDefault="00413020" w:rsidP="00FC1469">
      <w:pPr>
        <w:pStyle w:val="NoSpacing"/>
        <w:numPr>
          <w:ilvl w:val="0"/>
          <w:numId w:val="6"/>
        </w:numPr>
        <w:rPr>
          <w:rFonts w:ascii="Times New Roman" w:hAnsi="Times New Roman"/>
          <w:sz w:val="24"/>
          <w:szCs w:val="24"/>
        </w:rPr>
      </w:pPr>
      <w:r w:rsidRPr="00B96E1E">
        <w:rPr>
          <w:rFonts w:ascii="Times New Roman" w:hAnsi="Times New Roman"/>
          <w:sz w:val="24"/>
          <w:szCs w:val="24"/>
        </w:rPr>
        <w:t>C</w:t>
      </w:r>
      <w:r w:rsidR="00C959D4" w:rsidRPr="00B96E1E">
        <w:rPr>
          <w:rFonts w:ascii="Times New Roman" w:hAnsi="Times New Roman"/>
          <w:sz w:val="24"/>
          <w:szCs w:val="24"/>
        </w:rPr>
        <w:t>opies of the record of the Public Hearing</w:t>
      </w:r>
      <w:r w:rsidR="00710FE4" w:rsidRPr="00B96E1E">
        <w:rPr>
          <w:rFonts w:ascii="Times New Roman" w:hAnsi="Times New Roman"/>
          <w:sz w:val="24"/>
          <w:szCs w:val="24"/>
        </w:rPr>
        <w:t xml:space="preserve"> and Determination and Findings</w:t>
      </w:r>
      <w:r w:rsidR="00C959D4" w:rsidRPr="00B96E1E">
        <w:rPr>
          <w:rFonts w:ascii="Times New Roman" w:hAnsi="Times New Roman"/>
          <w:sz w:val="24"/>
          <w:szCs w:val="24"/>
        </w:rPr>
        <w:t xml:space="preserve"> </w:t>
      </w:r>
      <w:r w:rsidRPr="00B96E1E">
        <w:rPr>
          <w:rFonts w:ascii="Times New Roman" w:hAnsi="Times New Roman"/>
          <w:sz w:val="24"/>
          <w:szCs w:val="24"/>
        </w:rPr>
        <w:t>are</w:t>
      </w:r>
      <w:r w:rsidR="00C959D4" w:rsidRPr="00B96E1E">
        <w:rPr>
          <w:rFonts w:ascii="Times New Roman" w:hAnsi="Times New Roman"/>
          <w:sz w:val="24"/>
          <w:szCs w:val="24"/>
        </w:rPr>
        <w:t xml:space="preserve"> available for examination without cost during normal business hours at the office of the Town Clerk. Further, copies of the record o</w:t>
      </w:r>
      <w:r w:rsidR="002A7EE8" w:rsidRPr="00B96E1E">
        <w:rPr>
          <w:rFonts w:ascii="Times New Roman" w:hAnsi="Times New Roman"/>
          <w:sz w:val="24"/>
          <w:szCs w:val="24"/>
        </w:rPr>
        <w:t>f the Public Hearing</w:t>
      </w:r>
      <w:r w:rsidR="00710FE4" w:rsidRPr="00B96E1E">
        <w:rPr>
          <w:rFonts w:ascii="Times New Roman" w:hAnsi="Times New Roman"/>
          <w:sz w:val="24"/>
          <w:szCs w:val="24"/>
        </w:rPr>
        <w:t xml:space="preserve"> and the Determination and Findings</w:t>
      </w:r>
      <w:r w:rsidR="002A7EE8" w:rsidRPr="00B96E1E">
        <w:rPr>
          <w:rFonts w:ascii="Times New Roman" w:hAnsi="Times New Roman"/>
          <w:sz w:val="24"/>
          <w:szCs w:val="24"/>
        </w:rPr>
        <w:t xml:space="preserve"> shall be </w:t>
      </w:r>
      <w:r w:rsidR="00C959D4" w:rsidRPr="00B96E1E">
        <w:rPr>
          <w:rFonts w:ascii="Times New Roman" w:hAnsi="Times New Roman"/>
          <w:sz w:val="24"/>
          <w:szCs w:val="24"/>
        </w:rPr>
        <w:t xml:space="preserve">produced upon written request </w:t>
      </w:r>
      <w:r w:rsidR="00974978" w:rsidRPr="00B96E1E">
        <w:rPr>
          <w:rFonts w:ascii="Times New Roman" w:hAnsi="Times New Roman"/>
          <w:sz w:val="24"/>
          <w:szCs w:val="24"/>
        </w:rPr>
        <w:t>by any interested party, without cost.</w:t>
      </w:r>
    </w:p>
    <w:p w14:paraId="06DCEC98" w14:textId="77777777" w:rsidR="00B96E1E" w:rsidRDefault="00B96E1E" w:rsidP="00B96E1E">
      <w:pPr>
        <w:pStyle w:val="ListParagraph"/>
        <w:rPr>
          <w:szCs w:val="24"/>
        </w:rPr>
      </w:pPr>
    </w:p>
    <w:p w14:paraId="07DF4C4B" w14:textId="77777777" w:rsidR="00B96E1E" w:rsidRDefault="00413020" w:rsidP="00FC1469">
      <w:pPr>
        <w:pStyle w:val="NoSpacing"/>
        <w:numPr>
          <w:ilvl w:val="0"/>
          <w:numId w:val="6"/>
        </w:numPr>
        <w:rPr>
          <w:rFonts w:ascii="Times New Roman" w:hAnsi="Times New Roman"/>
          <w:sz w:val="24"/>
          <w:szCs w:val="24"/>
        </w:rPr>
      </w:pPr>
      <w:r w:rsidRPr="00B96E1E">
        <w:rPr>
          <w:rFonts w:ascii="Times New Roman" w:hAnsi="Times New Roman"/>
          <w:sz w:val="24"/>
          <w:szCs w:val="24"/>
        </w:rPr>
        <w:t>Under Section 207 of the New York State Eminent Domain Procedure Law, an impacted property owner has thirty (30) days from the newspaper publication of this Notice to commence a proceeding seeking judicial review of the Town’s determination and findings.</w:t>
      </w:r>
    </w:p>
    <w:p w14:paraId="1C7E7F2A" w14:textId="77777777" w:rsidR="00B96E1E" w:rsidRDefault="00B96E1E" w:rsidP="00B96E1E">
      <w:pPr>
        <w:pStyle w:val="ListParagraph"/>
        <w:rPr>
          <w:szCs w:val="24"/>
        </w:rPr>
      </w:pPr>
    </w:p>
    <w:p w14:paraId="6C367FE3" w14:textId="4E7C0BD8" w:rsidR="00413020" w:rsidRPr="00B96E1E" w:rsidRDefault="00413020" w:rsidP="00FC1469">
      <w:pPr>
        <w:pStyle w:val="NoSpacing"/>
        <w:numPr>
          <w:ilvl w:val="0"/>
          <w:numId w:val="6"/>
        </w:numPr>
        <w:rPr>
          <w:rFonts w:ascii="Times New Roman" w:hAnsi="Times New Roman"/>
          <w:sz w:val="24"/>
          <w:szCs w:val="24"/>
        </w:rPr>
      </w:pPr>
      <w:r w:rsidRPr="00B96E1E">
        <w:rPr>
          <w:rFonts w:ascii="Times New Roman" w:hAnsi="Times New Roman"/>
          <w:sz w:val="24"/>
          <w:szCs w:val="24"/>
        </w:rPr>
        <w:t>Under Sections 207 and 208 of the EDPL, the exclusive venue for judicial review of the Town’s determination and findings is the Appellate Division of the Supreme Court in the Judicial Department where any part of the property is located.</w:t>
      </w:r>
    </w:p>
    <w:p w14:paraId="01D50F9F" w14:textId="77777777" w:rsidR="00413020" w:rsidRPr="003F5964" w:rsidRDefault="00413020" w:rsidP="00413020">
      <w:pPr>
        <w:pStyle w:val="Default"/>
      </w:pPr>
    </w:p>
    <w:p w14:paraId="4E410B3E" w14:textId="317AAD0E" w:rsidR="00FE254F" w:rsidRPr="00FE254F" w:rsidRDefault="00C959D4" w:rsidP="00E73D12">
      <w:pPr>
        <w:pStyle w:val="CM9"/>
        <w:spacing w:after="267" w:line="278" w:lineRule="atLeast"/>
        <w:ind w:right="-90"/>
        <w:jc w:val="both"/>
      </w:pPr>
      <w:r w:rsidRPr="003F5964">
        <w:t>Dated:</w:t>
      </w:r>
      <w:r w:rsidR="00B96E1E">
        <w:t xml:space="preserve"> August 14, 202</w:t>
      </w:r>
      <w:r w:rsidR="00EC7653">
        <w:t>0</w:t>
      </w:r>
      <w:bookmarkStart w:id="4" w:name="_GoBack"/>
      <w:bookmarkEnd w:id="4"/>
    </w:p>
    <w:sectPr w:rsidR="00FE254F" w:rsidRPr="00FE254F" w:rsidSect="00EC7653">
      <w:footerReference w:type="default" r:id="rId7"/>
      <w:pgSz w:w="12331" w:h="15911"/>
      <w:pgMar w:top="1350" w:right="1531" w:bottom="1170" w:left="1440" w:header="720" w:footer="40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89C7F" w14:textId="77777777" w:rsidR="00463372" w:rsidRDefault="00463372" w:rsidP="00FC1469">
      <w:pPr>
        <w:spacing w:after="0" w:line="240" w:lineRule="auto"/>
      </w:pPr>
      <w:r>
        <w:separator/>
      </w:r>
    </w:p>
  </w:endnote>
  <w:endnote w:type="continuationSeparator" w:id="0">
    <w:p w14:paraId="683D17BC" w14:textId="77777777" w:rsidR="00463372" w:rsidRDefault="00463372" w:rsidP="00FC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6CFB6" w14:textId="77777777" w:rsidR="00FC1469" w:rsidRDefault="00FC1469">
    <w:pPr>
      <w:pStyle w:val="Footer"/>
      <w:jc w:val="center"/>
    </w:pPr>
    <w:r>
      <w:fldChar w:fldCharType="begin"/>
    </w:r>
    <w:r>
      <w:instrText xml:space="preserve"> PAGE   \* MERGEFORMAT </w:instrText>
    </w:r>
    <w:r>
      <w:fldChar w:fldCharType="separate"/>
    </w:r>
    <w:r w:rsidR="00E73D12">
      <w:rPr>
        <w:noProof/>
      </w:rPr>
      <w:t>3</w:t>
    </w:r>
    <w:r>
      <w:fldChar w:fldCharType="end"/>
    </w:r>
  </w:p>
  <w:p w14:paraId="012B4121" w14:textId="77777777" w:rsidR="00FC1469" w:rsidRDefault="00FC1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A024A" w14:textId="77777777" w:rsidR="00463372" w:rsidRDefault="00463372" w:rsidP="00FC1469">
      <w:pPr>
        <w:spacing w:after="0" w:line="240" w:lineRule="auto"/>
      </w:pPr>
      <w:r>
        <w:separator/>
      </w:r>
    </w:p>
  </w:footnote>
  <w:footnote w:type="continuationSeparator" w:id="0">
    <w:p w14:paraId="66D47660" w14:textId="77777777" w:rsidR="00463372" w:rsidRDefault="00463372" w:rsidP="00FC1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334F55"/>
    <w:multiLevelType w:val="hybridMultilevel"/>
    <w:tmpl w:val="587D56C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087BD2"/>
    <w:multiLevelType w:val="hybridMultilevel"/>
    <w:tmpl w:val="6A829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7C5027"/>
    <w:multiLevelType w:val="hybridMultilevel"/>
    <w:tmpl w:val="EC92376E"/>
    <w:lvl w:ilvl="0" w:tplc="6730335E">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EA4922"/>
    <w:multiLevelType w:val="hybridMultilevel"/>
    <w:tmpl w:val="57829108"/>
    <w:lvl w:ilvl="0" w:tplc="11204BC0">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4" w15:restartNumberingAfterBreak="0">
    <w:nsid w:val="68AE20EE"/>
    <w:multiLevelType w:val="hybridMultilevel"/>
    <w:tmpl w:val="0A26B356"/>
    <w:lvl w:ilvl="0" w:tplc="16041946">
      <w:start w:val="3"/>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82C99F4"/>
    <w:multiLevelType w:val="hybridMultilevel"/>
    <w:tmpl w:val="E72CEBE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D4"/>
    <w:rsid w:val="00026A53"/>
    <w:rsid w:val="000D6092"/>
    <w:rsid w:val="00103E7F"/>
    <w:rsid w:val="00131F7B"/>
    <w:rsid w:val="00133EA2"/>
    <w:rsid w:val="001822EE"/>
    <w:rsid w:val="002212DF"/>
    <w:rsid w:val="002A7EE8"/>
    <w:rsid w:val="002E3DEC"/>
    <w:rsid w:val="00384A54"/>
    <w:rsid w:val="003B4023"/>
    <w:rsid w:val="003F5964"/>
    <w:rsid w:val="00413020"/>
    <w:rsid w:val="00453A7E"/>
    <w:rsid w:val="00463372"/>
    <w:rsid w:val="004955EE"/>
    <w:rsid w:val="004F5D40"/>
    <w:rsid w:val="00570749"/>
    <w:rsid w:val="0058346D"/>
    <w:rsid w:val="005F0BD6"/>
    <w:rsid w:val="006169FD"/>
    <w:rsid w:val="00700DD3"/>
    <w:rsid w:val="00710FE4"/>
    <w:rsid w:val="00712B19"/>
    <w:rsid w:val="00787CC6"/>
    <w:rsid w:val="007D61FD"/>
    <w:rsid w:val="00836BB3"/>
    <w:rsid w:val="008D6DD1"/>
    <w:rsid w:val="008F3ABA"/>
    <w:rsid w:val="0091498F"/>
    <w:rsid w:val="00974978"/>
    <w:rsid w:val="009816B0"/>
    <w:rsid w:val="00984649"/>
    <w:rsid w:val="009B006D"/>
    <w:rsid w:val="00A63E04"/>
    <w:rsid w:val="00A860EA"/>
    <w:rsid w:val="00A93320"/>
    <w:rsid w:val="00B12C6E"/>
    <w:rsid w:val="00B13BDC"/>
    <w:rsid w:val="00B50756"/>
    <w:rsid w:val="00B96E1E"/>
    <w:rsid w:val="00BB450E"/>
    <w:rsid w:val="00C421EE"/>
    <w:rsid w:val="00C91795"/>
    <w:rsid w:val="00C959D4"/>
    <w:rsid w:val="00CD665C"/>
    <w:rsid w:val="00D41088"/>
    <w:rsid w:val="00D44AB0"/>
    <w:rsid w:val="00DC24AB"/>
    <w:rsid w:val="00E30868"/>
    <w:rsid w:val="00E73D12"/>
    <w:rsid w:val="00EC7653"/>
    <w:rsid w:val="00ED04CC"/>
    <w:rsid w:val="00F43B52"/>
    <w:rsid w:val="00FC1469"/>
    <w:rsid w:val="00FE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8EDDA"/>
  <w15:chartTrackingRefBased/>
  <w15:docId w15:val="{5B4A359B-CB50-408A-9EA6-C4F82A75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pPr>
      <w:spacing w:line="278" w:lineRule="atLeast"/>
    </w:pPr>
    <w:rPr>
      <w:color w:val="auto"/>
    </w:rPr>
  </w:style>
  <w:style w:type="paragraph" w:customStyle="1" w:styleId="CM9">
    <w:name w:val="CM9"/>
    <w:basedOn w:val="Default"/>
    <w:next w:val="Default"/>
    <w:uiPriority w:val="99"/>
    <w:rPr>
      <w:color w:val="auto"/>
    </w:rPr>
  </w:style>
  <w:style w:type="paragraph" w:customStyle="1" w:styleId="CM2">
    <w:name w:val="CM2"/>
    <w:basedOn w:val="Default"/>
    <w:next w:val="Default"/>
    <w:uiPriority w:val="99"/>
    <w:pPr>
      <w:spacing w:line="278" w:lineRule="atLeast"/>
    </w:pPr>
    <w:rPr>
      <w:color w:val="auto"/>
    </w:rPr>
  </w:style>
  <w:style w:type="paragraph" w:customStyle="1" w:styleId="CM3">
    <w:name w:val="CM3"/>
    <w:basedOn w:val="Default"/>
    <w:next w:val="Default"/>
    <w:uiPriority w:val="99"/>
    <w:pPr>
      <w:spacing w:line="278" w:lineRule="atLeast"/>
    </w:pPr>
    <w:rPr>
      <w:color w:val="auto"/>
    </w:rPr>
  </w:style>
  <w:style w:type="paragraph" w:customStyle="1" w:styleId="CM5">
    <w:name w:val="CM5"/>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6">
    <w:name w:val="CM6"/>
    <w:basedOn w:val="Default"/>
    <w:next w:val="Default"/>
    <w:uiPriority w:val="99"/>
    <w:pPr>
      <w:spacing w:line="276" w:lineRule="atLeast"/>
    </w:pPr>
    <w:rPr>
      <w:color w:val="auto"/>
    </w:rPr>
  </w:style>
  <w:style w:type="paragraph" w:customStyle="1" w:styleId="CM11">
    <w:name w:val="CM1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12">
    <w:name w:val="CM12"/>
    <w:basedOn w:val="Default"/>
    <w:next w:val="Default"/>
    <w:uiPriority w:val="99"/>
    <w:rPr>
      <w:color w:val="auto"/>
    </w:rPr>
  </w:style>
  <w:style w:type="paragraph" w:styleId="Header">
    <w:name w:val="header"/>
    <w:basedOn w:val="Normal"/>
    <w:link w:val="HeaderChar"/>
    <w:uiPriority w:val="99"/>
    <w:unhideWhenUsed/>
    <w:rsid w:val="00FC1469"/>
    <w:pPr>
      <w:tabs>
        <w:tab w:val="center" w:pos="4680"/>
        <w:tab w:val="right" w:pos="9360"/>
      </w:tabs>
    </w:pPr>
    <w:rPr>
      <w:sz w:val="20"/>
      <w:szCs w:val="20"/>
      <w:lang w:val="x-none" w:eastAsia="x-none"/>
    </w:rPr>
  </w:style>
  <w:style w:type="character" w:customStyle="1" w:styleId="HeaderChar">
    <w:name w:val="Header Char"/>
    <w:link w:val="Header"/>
    <w:uiPriority w:val="99"/>
    <w:locked/>
    <w:rsid w:val="00FC1469"/>
    <w:rPr>
      <w:rFonts w:cs="Times New Roman"/>
    </w:rPr>
  </w:style>
  <w:style w:type="paragraph" w:styleId="Footer">
    <w:name w:val="footer"/>
    <w:basedOn w:val="Normal"/>
    <w:link w:val="FooterChar"/>
    <w:uiPriority w:val="99"/>
    <w:unhideWhenUsed/>
    <w:rsid w:val="00FC1469"/>
    <w:pPr>
      <w:tabs>
        <w:tab w:val="center" w:pos="4680"/>
        <w:tab w:val="right" w:pos="9360"/>
      </w:tabs>
    </w:pPr>
    <w:rPr>
      <w:sz w:val="20"/>
      <w:szCs w:val="20"/>
      <w:lang w:val="x-none" w:eastAsia="x-none"/>
    </w:rPr>
  </w:style>
  <w:style w:type="character" w:customStyle="1" w:styleId="FooterChar">
    <w:name w:val="Footer Char"/>
    <w:link w:val="Footer"/>
    <w:uiPriority w:val="99"/>
    <w:locked/>
    <w:rsid w:val="00FC1469"/>
    <w:rPr>
      <w:rFonts w:cs="Times New Roman"/>
    </w:rPr>
  </w:style>
  <w:style w:type="character" w:styleId="SubtleEmphasis">
    <w:name w:val="Subtle Emphasis"/>
    <w:uiPriority w:val="19"/>
    <w:qFormat/>
    <w:rsid w:val="00A93320"/>
    <w:rPr>
      <w:rFonts w:cs="Times New Roman"/>
      <w:i/>
      <w:iCs/>
      <w:color w:val="808080"/>
    </w:rPr>
  </w:style>
  <w:style w:type="paragraph" w:styleId="ListParagraph">
    <w:name w:val="List Paragraph"/>
    <w:basedOn w:val="Normal"/>
    <w:uiPriority w:val="34"/>
    <w:qFormat/>
    <w:rsid w:val="00710FE4"/>
    <w:pPr>
      <w:spacing w:after="0" w:line="240" w:lineRule="auto"/>
      <w:ind w:left="720"/>
    </w:pPr>
    <w:rPr>
      <w:rFonts w:ascii="Times New Roman" w:hAnsi="Times New Roman"/>
      <w:sz w:val="24"/>
      <w:szCs w:val="20"/>
    </w:rPr>
  </w:style>
  <w:style w:type="paragraph" w:styleId="NoSpacing">
    <w:name w:val="No Spacing"/>
    <w:uiPriority w:val="1"/>
    <w:qFormat/>
    <w:rsid w:val="00131F7B"/>
    <w:pPr>
      <w:ind w:left="418" w:hanging="360"/>
      <w:jc w:val="both"/>
    </w:pPr>
    <w:rPr>
      <w:rFonts w:eastAsia="Calibri"/>
      <w:sz w:val="22"/>
      <w:szCs w:val="22"/>
    </w:rPr>
  </w:style>
  <w:style w:type="paragraph" w:styleId="BalloonText">
    <w:name w:val="Balloon Text"/>
    <w:basedOn w:val="Normal"/>
    <w:link w:val="BalloonTextChar"/>
    <w:uiPriority w:val="99"/>
    <w:semiHidden/>
    <w:unhideWhenUsed/>
    <w:rsid w:val="00914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Young</dc:creator>
  <cp:keywords/>
  <cp:lastModifiedBy>Patty Kelly</cp:lastModifiedBy>
  <cp:revision>5</cp:revision>
  <cp:lastPrinted>2020-08-17T13:51:00Z</cp:lastPrinted>
  <dcterms:created xsi:type="dcterms:W3CDTF">2020-08-17T12:18:00Z</dcterms:created>
  <dcterms:modified xsi:type="dcterms:W3CDTF">2020-08-17T13:52:00Z</dcterms:modified>
</cp:coreProperties>
</file>